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2692" w14:textId="77777777" w:rsidR="00B53723" w:rsidRPr="00F07785" w:rsidRDefault="00B53723" w:rsidP="00E239B5">
      <w:pPr>
        <w:spacing w:after="160" w:line="259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14:paraId="555A9C49" w14:textId="77777777" w:rsidR="00B53723" w:rsidRPr="00F07785" w:rsidRDefault="00B53723" w:rsidP="00B53723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sz w:val="24"/>
          <w:szCs w:val="24"/>
          <w:lang w:val="uk-UA"/>
        </w:rPr>
        <w:t>ІНФОРМАЦІЯ ДЛЯ КЛІЄНТА</w:t>
      </w:r>
    </w:p>
    <w:p w14:paraId="471A03F5" w14:textId="77777777" w:rsidR="00B53723" w:rsidRPr="00F07785" w:rsidRDefault="00B53723" w:rsidP="00FB4E77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16A84B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Відповідно до вимог ст. 12 Закону України «Про фінансові послуги та державне регулювання ринків фінансових послуг» фінансова установа до укладення з клієнтом договору про надання фінансової послуги додатково надає йому інформацію про:</w:t>
      </w:r>
    </w:p>
    <w:p w14:paraId="1C431A5E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1)</w:t>
      </w:r>
      <w:r w:rsidRPr="00F07785">
        <w:rPr>
          <w:rFonts w:ascii="Times New Roman" w:hAnsi="Times New Roman"/>
          <w:sz w:val="24"/>
          <w:szCs w:val="24"/>
          <w:lang w:val="uk-UA"/>
        </w:rPr>
        <w:tab/>
      </w:r>
      <w:r w:rsidRPr="00F07785">
        <w:rPr>
          <w:rFonts w:ascii="Times New Roman" w:hAnsi="Times New Roman"/>
          <w:i/>
          <w:sz w:val="24"/>
          <w:szCs w:val="24"/>
          <w:lang w:val="uk-UA"/>
        </w:rPr>
        <w:t>фінансову послугу, що пропонується надати клієнту, із зазначенням вартості цієї послуги для клієнта, якщо інше не передбачено законами з питань регулювання окремих ринків фінансових послуг;</w:t>
      </w:r>
    </w:p>
    <w:p w14:paraId="555748D0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2)</w:t>
      </w:r>
      <w:r w:rsidRPr="00F07785">
        <w:rPr>
          <w:rFonts w:ascii="Times New Roman" w:hAnsi="Times New Roman"/>
          <w:i/>
          <w:sz w:val="24"/>
          <w:szCs w:val="24"/>
          <w:lang w:val="uk-UA"/>
        </w:rPr>
        <w:tab/>
        <w:t>умови надання додаткових фінансових послуг та їх вартість;</w:t>
      </w:r>
    </w:p>
    <w:p w14:paraId="1091240A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3)</w:t>
      </w:r>
      <w:r w:rsidRPr="00F07785">
        <w:rPr>
          <w:rFonts w:ascii="Times New Roman" w:hAnsi="Times New Roman"/>
          <w:i/>
          <w:sz w:val="24"/>
          <w:szCs w:val="24"/>
          <w:lang w:val="uk-UA"/>
        </w:rPr>
        <w:tab/>
        <w:t>порядок сплати податків і зборів за рахунок фізичної особи в результаті отримання фінансової послуги;</w:t>
      </w:r>
    </w:p>
    <w:p w14:paraId="2B204A42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4)</w:t>
      </w:r>
      <w:r w:rsidRPr="00F07785">
        <w:rPr>
          <w:rFonts w:ascii="Times New Roman" w:hAnsi="Times New Roman"/>
          <w:i/>
          <w:sz w:val="24"/>
          <w:szCs w:val="24"/>
          <w:lang w:val="uk-UA"/>
        </w:rPr>
        <w:tab/>
        <w:t>правові наслідки та порядок здійснення розрахунків з фізичною особою внаслідок дострокового припинення надання фінансової послуги;</w:t>
      </w:r>
    </w:p>
    <w:p w14:paraId="10CD896A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5)</w:t>
      </w:r>
      <w:r w:rsidRPr="00F07785">
        <w:rPr>
          <w:rFonts w:ascii="Times New Roman" w:hAnsi="Times New Roman"/>
          <w:i/>
          <w:sz w:val="24"/>
          <w:szCs w:val="24"/>
          <w:lang w:val="uk-UA"/>
        </w:rPr>
        <w:tab/>
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</w:r>
    </w:p>
    <w:p w14:paraId="381D6D44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6)</w:t>
      </w:r>
      <w:r w:rsidRPr="00F07785">
        <w:rPr>
          <w:rFonts w:ascii="Times New Roman" w:hAnsi="Times New Roman"/>
          <w:i/>
          <w:sz w:val="24"/>
          <w:szCs w:val="24"/>
          <w:lang w:val="uk-UA"/>
        </w:rPr>
        <w:tab/>
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</w:r>
    </w:p>
    <w:p w14:paraId="5BF5A7A9" w14:textId="77777777" w:rsidR="00B53723" w:rsidRPr="00F07785" w:rsidRDefault="00B53723" w:rsidP="00B5372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7)</w:t>
      </w:r>
      <w:r w:rsidRPr="00F07785">
        <w:rPr>
          <w:rFonts w:ascii="Times New Roman" w:hAnsi="Times New Roman"/>
          <w:i/>
          <w:sz w:val="24"/>
          <w:szCs w:val="24"/>
          <w:lang w:val="uk-UA"/>
        </w:rPr>
        <w:tab/>
        <w:t>розмір винагороди фінансової установи у разі, коли вона пропонує фінансові послуги, що надаються іншими фінансовими установами.</w:t>
      </w:r>
    </w:p>
    <w:p w14:paraId="7A2DF60D" w14:textId="77777777" w:rsidR="00B53723" w:rsidRPr="00F07785" w:rsidRDefault="00B53723" w:rsidP="00B53723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4553FF" w14:textId="53329A93" w:rsidR="00B53723" w:rsidRPr="00F07785" w:rsidRDefault="00B53723" w:rsidP="003710C8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sz w:val="24"/>
          <w:szCs w:val="24"/>
          <w:lang w:val="uk-UA"/>
        </w:rPr>
        <w:t>ТОВАРИСТВО З ОБМЕЖЕНОЮ ВІДПОВІДАЛЬНІСТЮ «ФІНАНСОВА КОМПАНІЯ ЮАПЕЙ»</w:t>
      </w:r>
      <w:r w:rsidRPr="00F07785">
        <w:rPr>
          <w:rFonts w:ascii="Times New Roman" w:hAnsi="Times New Roman"/>
          <w:sz w:val="24"/>
          <w:szCs w:val="24"/>
          <w:lang w:val="uk-UA"/>
        </w:rPr>
        <w:t xml:space="preserve">, керуючись ст. 12 ЗУ «Про фінансові послуги та державне регулювання ринків фінансових послуг» </w:t>
      </w: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t xml:space="preserve">до укладання </w:t>
      </w:r>
      <w:r w:rsidR="003710C8" w:rsidRPr="00F07785">
        <w:rPr>
          <w:rFonts w:ascii="Times New Roman" w:hAnsi="Times New Roman"/>
          <w:b/>
          <w:i/>
          <w:sz w:val="24"/>
          <w:szCs w:val="24"/>
          <w:lang w:val="uk-UA"/>
        </w:rPr>
        <w:t xml:space="preserve">Публічного договору про надання фінансових послуг з переказу коштів </w:t>
      </w:r>
      <w:r w:rsidRPr="00F07785">
        <w:rPr>
          <w:rFonts w:ascii="Times New Roman" w:hAnsi="Times New Roman"/>
          <w:sz w:val="24"/>
          <w:szCs w:val="24"/>
          <w:lang w:val="uk-UA"/>
        </w:rPr>
        <w:t>повідомляє наступну інформацію:</w:t>
      </w:r>
    </w:p>
    <w:p w14:paraId="0EB44078" w14:textId="77777777" w:rsidR="00B53723" w:rsidRPr="00F07785" w:rsidRDefault="00B53723" w:rsidP="00B53723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1A0579" w14:textId="77777777" w:rsidR="00B53723" w:rsidRPr="00F07785" w:rsidRDefault="00B53723" w:rsidP="00B53723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b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t xml:space="preserve">Про фінансову послугу, що пропонується надати клієнту, із зазначенням вартості цієї послуги для клієнта, якщо інше не передбачено законами з питань регулювання окремих ринків фінансових послуг. </w:t>
      </w:r>
    </w:p>
    <w:p w14:paraId="6550D08A" w14:textId="4AA89981" w:rsidR="00B53723" w:rsidRPr="00F07785" w:rsidRDefault="00B53723" w:rsidP="00B53723">
      <w:pPr>
        <w:pStyle w:val="ac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517878323"/>
      <w:r w:rsidRPr="00F07785">
        <w:rPr>
          <w:rFonts w:ascii="Times New Roman" w:hAnsi="Times New Roman"/>
          <w:sz w:val="24"/>
          <w:szCs w:val="24"/>
          <w:lang w:val="uk-UA"/>
        </w:rPr>
        <w:tab/>
      </w:r>
      <w:r w:rsidRPr="00F07785">
        <w:rPr>
          <w:rFonts w:ascii="Times New Roman" w:hAnsi="Times New Roman"/>
          <w:sz w:val="24"/>
          <w:szCs w:val="24"/>
          <w:lang w:val="uk-UA"/>
        </w:rPr>
        <w:tab/>
        <w:t xml:space="preserve">ТОВ «ФК ЮАПЕЙ» є фінансовою установою, що внесена до реєстру фінансових установ, </w:t>
      </w:r>
      <w:r w:rsidR="003710C8" w:rsidRPr="00F07785">
        <w:rPr>
          <w:rFonts w:ascii="Times New Roman" w:hAnsi="Times New Roman"/>
          <w:sz w:val="24"/>
          <w:szCs w:val="24"/>
          <w:lang w:val="uk-UA"/>
        </w:rPr>
        <w:t>а також Платіжною організацією Внутрішньодержавної платіжної системи переказу коштів «ЮАПЕЙ» (надалі також – ВПС «ЮАПЕЙ»), що</w:t>
      </w:r>
      <w:r w:rsidRPr="00F07785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  <w:r w:rsidRPr="00F07785">
        <w:rPr>
          <w:rFonts w:ascii="Times New Roman" w:hAnsi="Times New Roman"/>
          <w:sz w:val="24"/>
          <w:szCs w:val="24"/>
          <w:lang w:val="uk-UA"/>
        </w:rPr>
        <w:t>на підставі ліцензії Національного банку України  на переказ коштів без відкриття рахунку від 09 грудня 2015 року № 30</w:t>
      </w:r>
      <w:r w:rsidR="003710C8" w:rsidRPr="00F07785">
        <w:rPr>
          <w:rFonts w:ascii="Times New Roman" w:hAnsi="Times New Roman"/>
          <w:sz w:val="24"/>
          <w:szCs w:val="24"/>
          <w:lang w:val="uk-UA"/>
        </w:rPr>
        <w:t xml:space="preserve">, а також Свідоцтва про узгодження Правил Внутрішньодержавної платіжної системи переказу коштів «ЮАПЕЙ» виданого Національним банком України за № 42 від 11.06.2019р. </w:t>
      </w:r>
      <w:r w:rsidRPr="00F07785">
        <w:rPr>
          <w:rFonts w:ascii="Times New Roman" w:hAnsi="Times New Roman"/>
          <w:sz w:val="24"/>
          <w:szCs w:val="24"/>
          <w:lang w:val="uk-UA"/>
        </w:rPr>
        <w:t>здійснює діяльність з надання фінансових послуг з переказу коштів в національній валюті без відкриття рахунку.</w:t>
      </w:r>
    </w:p>
    <w:p w14:paraId="685D3950" w14:textId="1ED8776C" w:rsidR="00B53723" w:rsidRPr="00F07785" w:rsidRDefault="00B53723" w:rsidP="00B53723">
      <w:pPr>
        <w:pStyle w:val="ac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Порядок (умови) здійснення переказу коштів в національній валюті, строки зарахування коштів отримувачам, вид валюти переказу коштів та інші питання регулює Публічний договір</w:t>
      </w:r>
      <w:r w:rsidR="003710C8" w:rsidRPr="00F07785">
        <w:rPr>
          <w:rFonts w:ascii="Times New Roman" w:hAnsi="Times New Roman"/>
          <w:sz w:val="24"/>
          <w:szCs w:val="24"/>
          <w:lang w:val="uk-UA"/>
        </w:rPr>
        <w:t xml:space="preserve"> про надання фінансових послуг з переказу коштів</w:t>
      </w:r>
      <w:r w:rsidRPr="00F07785">
        <w:rPr>
          <w:rFonts w:ascii="Times New Roman" w:hAnsi="Times New Roman"/>
          <w:sz w:val="24"/>
          <w:szCs w:val="24"/>
          <w:lang w:val="uk-UA"/>
        </w:rPr>
        <w:t>, розміщений для ознайомлення у відкритому доступі  на офіційному сайті ТОВ «ФК ЮАПЕЙ»  за посиланням: https://uapay.ua/rules-biller.</w:t>
      </w:r>
    </w:p>
    <w:p w14:paraId="5B6CA394" w14:textId="77777777" w:rsidR="00B53723" w:rsidRPr="00F07785" w:rsidRDefault="00B53723" w:rsidP="00B53723">
      <w:pPr>
        <w:pStyle w:val="ac"/>
        <w:tabs>
          <w:tab w:val="left" w:pos="709"/>
        </w:tabs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07785">
        <w:rPr>
          <w:rFonts w:ascii="Times New Roman" w:hAnsi="Times New Roman"/>
          <w:noProof/>
          <w:sz w:val="24"/>
          <w:szCs w:val="24"/>
          <w:lang w:val="uk-UA"/>
        </w:rPr>
        <w:t xml:space="preserve">Вартість послуг з переказу коштів (розмір комісійної винагороди/плата за здійснення операції), що надаються фінансовою установою, розраховується у автоматичному режимі виходячи з діючих тарифів, затверджених керівництвом ТОВ «ФК ЮАПЕЙ», та доводиться до відома Клієнта до отримання останнім фінансової послуги у вигляді інформаційного </w:t>
      </w:r>
      <w:r w:rsidRPr="00F07785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сповіщення у відповідних розділах на офіційному сайті ТОВ «ФК ЮАПЕЙ» за посиланням: https://uapay.ua/plateji, яке формується за результатом ініціювання Клієнтом переказу коштів. </w:t>
      </w:r>
    </w:p>
    <w:p w14:paraId="449BA5B2" w14:textId="0E78A0AD" w:rsidR="00B53723" w:rsidRPr="00F07785" w:rsidRDefault="00B53723" w:rsidP="003710C8">
      <w:pPr>
        <w:pStyle w:val="ac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noProof/>
          <w:sz w:val="24"/>
          <w:szCs w:val="24"/>
          <w:lang w:val="uk-UA"/>
        </w:rPr>
        <w:t xml:space="preserve">Відомості щодо найменування отримувачів коштів, на користь яких здійснюються перекази коштів та з якими укладені відповідні договори, відображаються фінансовою установою у відповідних розділах на офіційному сайті ТОВ «ФК ЮАПЕЙ» за посиланням: </w:t>
      </w:r>
      <w:hyperlink r:id="rId7" w:history="1">
        <w:r w:rsidRPr="00F07785">
          <w:rPr>
            <w:rFonts w:ascii="Times New Roman" w:hAnsi="Times New Roman"/>
            <w:sz w:val="24"/>
            <w:szCs w:val="24"/>
            <w:lang w:val="uk-UA"/>
          </w:rPr>
          <w:t>https://uapay.ua/plateji</w:t>
        </w:r>
      </w:hyperlink>
      <w:r w:rsidRPr="00F07785">
        <w:rPr>
          <w:rFonts w:ascii="Times New Roman" w:hAnsi="Times New Roman"/>
          <w:sz w:val="24"/>
          <w:szCs w:val="24"/>
          <w:lang w:val="uk-UA"/>
        </w:rPr>
        <w:t>.</w:t>
      </w:r>
    </w:p>
    <w:p w14:paraId="22306F43" w14:textId="77777777" w:rsidR="00B53723" w:rsidRPr="00F07785" w:rsidRDefault="00B53723" w:rsidP="00B53723">
      <w:pPr>
        <w:pStyle w:val="ac"/>
        <w:tabs>
          <w:tab w:val="left" w:pos="709"/>
        </w:tabs>
        <w:ind w:right="-1" w:firstLine="67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07785">
        <w:rPr>
          <w:rFonts w:ascii="Times New Roman" w:hAnsi="Times New Roman"/>
          <w:noProof/>
          <w:sz w:val="24"/>
          <w:szCs w:val="24"/>
          <w:lang w:val="uk-UA"/>
        </w:rPr>
        <w:t>На підтвердження виконання ініційованої Клієнтом операції з переказу коштів, засобами програмного забезпечення формується квитанція в електронній формі, що містить відомості щодо найменування отримувача, на користь якого здійснюється переказ коштів із наведенням інших обов’язкових реквізитів розрахункового документа, який надається в електронній формі, що дозволяє Клієнту зберігати документ на своєму комп’ютері у вигляді окремого файлу та, за потреби, отримати в паперовій формі за допомогою поширених програмних засобів.</w:t>
      </w:r>
    </w:p>
    <w:p w14:paraId="37292FC3" w14:textId="77777777" w:rsidR="00B53723" w:rsidRPr="00F07785" w:rsidRDefault="00B53723" w:rsidP="00B53723">
      <w:pPr>
        <w:shd w:val="clear" w:color="auto" w:fill="FFFFFF"/>
        <w:spacing w:line="255" w:lineRule="atLeast"/>
        <w:ind w:firstLine="709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bookmarkStart w:id="2" w:name="_Hlk13499659"/>
      <w:r w:rsidRPr="00F077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Для отримання довідкової інформації відносно порядку (умов) надання фінансових послуг, вартості фінансових послуг, іншої інформації про фінансову установу тощо, Клієнт може звернутись до контакт-центру за телефоном підтримки: </w:t>
      </w:r>
      <w:hyperlink r:id="rId8" w:history="1">
        <w:r w:rsidRPr="00F07785">
          <w:rPr>
            <w:rFonts w:ascii="Times New Roman" w:eastAsia="Times New Roman" w:hAnsi="Times New Roman" w:cs="Times New Roman"/>
            <w:noProof/>
            <w:sz w:val="24"/>
            <w:szCs w:val="24"/>
            <w:lang w:val="uk-UA"/>
          </w:rPr>
          <w:t>0 800 21 44 64</w:t>
        </w:r>
      </w:hyperlink>
      <w:r w:rsidRPr="00F0778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або за електронною адресою: info@uapay.ua.</w:t>
      </w:r>
    </w:p>
    <w:bookmarkEnd w:id="2"/>
    <w:p w14:paraId="421A1E30" w14:textId="77777777" w:rsidR="00B53723" w:rsidRPr="00F07785" w:rsidRDefault="00B53723" w:rsidP="00FB4E77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t>Про умови надання додаткових фінансових послуг та їх вартість</w:t>
      </w:r>
    </w:p>
    <w:p w14:paraId="7F04E2D0" w14:textId="77777777" w:rsidR="00B53723" w:rsidRPr="00F07785" w:rsidRDefault="00B53723" w:rsidP="00FB4E7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07785">
        <w:rPr>
          <w:rFonts w:ascii="Times New Roman" w:hAnsi="Times New Roman"/>
          <w:noProof/>
          <w:sz w:val="24"/>
          <w:szCs w:val="24"/>
          <w:lang w:val="uk-UA"/>
        </w:rPr>
        <w:t xml:space="preserve">При здійсненні діяльності з надання фінансових послуг з переказу коштів в національній валюті без відкриття рахунку, ТОВ «ФК ЮАПЕЙ» не пропонує додаткових фінансових послуг. </w:t>
      </w:r>
    </w:p>
    <w:p w14:paraId="797E3B6C" w14:textId="77777777" w:rsidR="00B53723" w:rsidRPr="00F07785" w:rsidRDefault="00B53723" w:rsidP="00FB4E77">
      <w:pPr>
        <w:pStyle w:val="ac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BA93CB" w14:textId="77777777" w:rsidR="00B53723" w:rsidRPr="00F07785" w:rsidRDefault="00B53723" w:rsidP="00FB4E77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t>Щодо порядку сплати податків і зборів за рахунок фізичної особи в результаті отримання фінансової послуги</w:t>
      </w:r>
    </w:p>
    <w:p w14:paraId="62C4D2CC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 xml:space="preserve">Платниками податку на доходи фізичних осіб у відповідності до приписів  п. 162.1. ст. 162 Податкового кодексу України (надалі ПК України) є фізична особа - резидент, яка отримує доходи як з джерела їх походження в Україні, так і іноземні доходи; фізична особа - нерезидент, яка отримує доходи з джерела їх походження в Україні; податковий агент. </w:t>
      </w:r>
    </w:p>
    <w:p w14:paraId="33D7C649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 xml:space="preserve">У відповідності до п. 163.1. ст. 163 ПК України об’єктом оподаткування податком на доходи фізичних осіб резидентів є загальний місячний (річний) оподатковуваний дохід;  доходи з джерела їх походження в Україні, які остаточно оподатковуються під час їх нарахування (виплати, надання);  іноземні доходи - доходи (прибуток), отримані з джерел за межами України. </w:t>
      </w:r>
    </w:p>
    <w:p w14:paraId="77DEA0C1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 xml:space="preserve">За приписами </w:t>
      </w:r>
      <w:proofErr w:type="spellStart"/>
      <w:r w:rsidRPr="00F07785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Pr="00F07785">
        <w:rPr>
          <w:rFonts w:ascii="Times New Roman" w:hAnsi="Times New Roman"/>
          <w:sz w:val="24"/>
          <w:szCs w:val="24"/>
          <w:lang w:val="uk-UA"/>
        </w:rPr>
        <w:t>. 14.1.54 п. 14.1 ст. 14 ПК України доходом з джерелом його походження з України є будь-який дохід, отриманий резидентами або нерезидентами, у тому числі від будь-яких видів їх діяльності на території України (включаючи виплату (нарахування) винагороди іноземними роботодавцями), її континентальному шельфі, у виключній (морській) економічній зоні.</w:t>
      </w:r>
    </w:p>
    <w:p w14:paraId="32C9FBD5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Фінансові послуги з переказу коштів в національній валюті, що надаються фінансовою установою не поширюються на перекази, що пов’язані з підприємницькою та інвестиційною діяльністю фізичних осіб.</w:t>
      </w:r>
    </w:p>
    <w:p w14:paraId="09CEEDA1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ТОВ «ФК ЮАПЕЙ» при здійсненні операцій з переказу коштів в національній валюті без відкриття рахунку - не виступає податковим агентом та відповідно податок на доходи фізичних осіб фінансовою установою не стягується.</w:t>
      </w:r>
    </w:p>
    <w:p w14:paraId="627EE565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 xml:space="preserve">Крім того, операцій з переказу коштів в національній валюті без відкриття рахунку є лише формою, в якій фізичною особою може бути отримано дохід та відповідно оподаткування </w:t>
      </w:r>
      <w:r w:rsidRPr="00F07785">
        <w:rPr>
          <w:rFonts w:ascii="Times New Roman" w:hAnsi="Times New Roman"/>
          <w:sz w:val="24"/>
          <w:szCs w:val="24"/>
          <w:lang w:val="uk-UA"/>
        </w:rPr>
        <w:lastRenderedPageBreak/>
        <w:t xml:space="preserve">вказаних операцій визначається у відповідності до приписів податкового законодавства України з урахуванням виду доходу отриманого фізичною особою внаслідок цих операцій. </w:t>
      </w:r>
    </w:p>
    <w:p w14:paraId="39333E77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При цьому слід зазначити, що згідно з пп.168.1.3 п. 168.1 ст.168 ПК України, якщо згідно з нормами розділу IV ПК України окремі види оподатковуваних доходів (прибутків) не підлягають оподаткуванню під час їх нарахування чи виплати, але не є звільненими від оподаткування, платник податку зобов’язаний самостійно включити суму таких доходів до загального річного оподатковуваного доходу податку та подати річну декларацію  про майновий стан і доходи. </w:t>
      </w:r>
    </w:p>
    <w:p w14:paraId="7DF02ED9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02422FF3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i/>
          <w:sz w:val="24"/>
          <w:szCs w:val="24"/>
          <w:lang w:val="uk-UA"/>
        </w:rPr>
        <w:t>Висновки ТОВ «ФК ЮАПЕЙ» щодо порядку сплати податків і зборів за рахунок фізичної особи в результаті отримання фінансової послуги з переказу коштів в національній валюті, засновані на власній експертній думці та підлягають застосуванню з урахуванням окремих роз’яснень Державної фіскальної служби України.</w:t>
      </w:r>
    </w:p>
    <w:p w14:paraId="3A2A8DA9" w14:textId="77777777" w:rsidR="00B53723" w:rsidRPr="00F07785" w:rsidRDefault="00B53723" w:rsidP="00FB4E77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8965F0" w14:textId="77777777" w:rsidR="00B53723" w:rsidRPr="00F07785" w:rsidRDefault="00B53723" w:rsidP="00FB4E77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t>Щодо правових наслідків та порядку здійснення розрахунків з фізичною особою внаслідок дострокового припинення надання фінансової послуги</w:t>
      </w:r>
    </w:p>
    <w:p w14:paraId="6B185DFC" w14:textId="5418804C" w:rsidR="00B53723" w:rsidRPr="00F07785" w:rsidRDefault="00B53723" w:rsidP="00FB4E77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 xml:space="preserve">Порядок, підстави та правові наслідки дострокового припинення надання фінансових послуг визначаються приписами цивільного законодавства України, Правилами роботи </w:t>
      </w:r>
      <w:r w:rsidR="00FB4E77" w:rsidRPr="00F07785">
        <w:rPr>
          <w:rFonts w:ascii="Times New Roman" w:hAnsi="Times New Roman"/>
          <w:sz w:val="24"/>
          <w:szCs w:val="24"/>
          <w:lang w:val="uk-UA"/>
        </w:rPr>
        <w:t xml:space="preserve">Внутрішньодержавної платіжної системи переказу коштів «ЮАПЕЙ» або іншої </w:t>
      </w:r>
      <w:r w:rsidRPr="00F07785">
        <w:rPr>
          <w:rFonts w:ascii="Times New Roman" w:hAnsi="Times New Roman"/>
          <w:sz w:val="24"/>
          <w:szCs w:val="24"/>
          <w:lang w:val="uk-UA"/>
        </w:rPr>
        <w:t xml:space="preserve">платіжної системи, учасником якої виступає ТОВ «ФК ЮАПЕЙ» та положеннями </w:t>
      </w:r>
      <w:r w:rsidR="00FB4E77" w:rsidRPr="00F07785">
        <w:rPr>
          <w:rFonts w:ascii="Times New Roman" w:hAnsi="Times New Roman"/>
          <w:sz w:val="24"/>
          <w:szCs w:val="24"/>
          <w:lang w:val="uk-UA"/>
        </w:rPr>
        <w:t>Публічного договору про надання фінансових послуг з переказу коштів</w:t>
      </w:r>
      <w:r w:rsidRPr="00F0778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0DA766C" w14:textId="77777777" w:rsidR="00B53723" w:rsidRPr="00F07785" w:rsidRDefault="00B53723" w:rsidP="00FB4E77">
      <w:pPr>
        <w:pStyle w:val="ac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FDDA08" w14:textId="77777777" w:rsidR="00B53723" w:rsidRPr="00F07785" w:rsidRDefault="00B53723" w:rsidP="00FB4E77">
      <w:pPr>
        <w:pStyle w:val="ac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t>Про механізм захисту фінансовою установою прав споживачів та порядок урегулювання спірних питань, що виникають у процесі надання фінансової послуги</w:t>
      </w:r>
    </w:p>
    <w:p w14:paraId="60A26C13" w14:textId="4BB8B0F7" w:rsidR="00B53723" w:rsidRPr="00F07785" w:rsidRDefault="00B53723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Порядок урегулювання спірних питань, що виникають у процесі надання фінансової послуги з переказу коштів визначається положеннями </w:t>
      </w:r>
      <w:r w:rsidR="00FB4E77" w:rsidRPr="00F07785">
        <w:rPr>
          <w:rFonts w:ascii="Times New Roman" w:hAnsi="Times New Roman"/>
          <w:sz w:val="24"/>
          <w:szCs w:val="24"/>
        </w:rPr>
        <w:t>Публічного договору про надання фінансових послуг з переказу коштів</w:t>
      </w:r>
      <w:r w:rsidRPr="00F07785">
        <w:rPr>
          <w:rFonts w:ascii="Times New Roman" w:hAnsi="Times New Roman"/>
          <w:sz w:val="24"/>
          <w:szCs w:val="24"/>
        </w:rPr>
        <w:t xml:space="preserve">, відповідно до якого будь-який спір, що виникає з даного Договору </w:t>
      </w:r>
      <w:proofErr w:type="spellStart"/>
      <w:r w:rsidRPr="00F07785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F07785">
        <w:rPr>
          <w:rFonts w:ascii="Times New Roman" w:hAnsi="Times New Roman"/>
          <w:sz w:val="24"/>
          <w:szCs w:val="24"/>
        </w:rPr>
        <w:t>згідно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07785">
        <w:rPr>
          <w:rFonts w:ascii="Times New Roman" w:hAnsi="Times New Roman"/>
          <w:sz w:val="24"/>
          <w:szCs w:val="24"/>
        </w:rPr>
        <w:t>.</w:t>
      </w:r>
    </w:p>
    <w:p w14:paraId="12B91DCA" w14:textId="36B77F05" w:rsidR="00FB4E77" w:rsidRPr="00F07785" w:rsidRDefault="00B53723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Механізм захисту прав споживачів визначається відповідними положеннями Правил </w:t>
      </w:r>
      <w:r w:rsidR="00FB4E77" w:rsidRPr="00F07785">
        <w:rPr>
          <w:rFonts w:ascii="Times New Roman" w:hAnsi="Times New Roman"/>
          <w:sz w:val="24"/>
          <w:szCs w:val="24"/>
        </w:rPr>
        <w:t>Внутрішньодержавної платіжної системи переказу коштів «ЮАПЕЙ», відповідно до яких,</w:t>
      </w:r>
      <w:r w:rsidRPr="00F07785">
        <w:rPr>
          <w:rFonts w:ascii="Times New Roman" w:hAnsi="Times New Roman"/>
          <w:sz w:val="24"/>
          <w:szCs w:val="24"/>
        </w:rPr>
        <w:t xml:space="preserve"> </w:t>
      </w:r>
      <w:r w:rsidR="00FB4E77" w:rsidRPr="00F07785">
        <w:rPr>
          <w:rFonts w:ascii="Times New Roman" w:hAnsi="Times New Roman"/>
          <w:sz w:val="24"/>
          <w:szCs w:val="24"/>
        </w:rPr>
        <w:t xml:space="preserve">у разі виникнення суперечностей між Платіжною організацією та/або  Учасниками ВПС «ЮАПЕЙ», внаслідок невиконання або неналежного виконання ними своїх зобов’язань відповідно до умов укладених договорів, з метою отримання необхідної інформації, Учасники ВПС мають право звертатися до інших Учасників ВПС «ЮАПЕЙ», з якими вони мають договірні відносини, або до Платіжної організації в разі відсутності таких договірних відносин. </w:t>
      </w:r>
    </w:p>
    <w:p w14:paraId="62B87C16" w14:textId="77777777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Учасники ВПС «ЮАПЕЙ», які отримали відповідний запит про надання </w:t>
      </w:r>
      <w:proofErr w:type="spellStart"/>
      <w:r w:rsidRPr="00F07785">
        <w:rPr>
          <w:rFonts w:ascii="Times New Roman" w:hAnsi="Times New Roman"/>
          <w:sz w:val="24"/>
          <w:szCs w:val="24"/>
        </w:rPr>
        <w:t>необхідної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зобов’язані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оперативно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розглянути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цей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запит і за наявності такої інформації задовольнити його.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7785">
        <w:rPr>
          <w:rFonts w:ascii="Times New Roman" w:hAnsi="Times New Roman"/>
          <w:sz w:val="24"/>
          <w:szCs w:val="24"/>
        </w:rPr>
        <w:t>разі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будь-яку </w:t>
      </w:r>
      <w:proofErr w:type="spellStart"/>
      <w:r w:rsidRPr="00F07785">
        <w:rPr>
          <w:rFonts w:ascii="Times New Roman" w:hAnsi="Times New Roman"/>
          <w:sz w:val="24"/>
          <w:szCs w:val="24"/>
        </w:rPr>
        <w:t>необхідну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«ЮАПЕЙ», а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також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F07785">
        <w:rPr>
          <w:rFonts w:ascii="Times New Roman" w:hAnsi="Times New Roman"/>
          <w:sz w:val="24"/>
          <w:szCs w:val="24"/>
        </w:rPr>
        <w:t>надати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її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«ЮАПЕЙ» за </w:t>
      </w:r>
      <w:proofErr w:type="spellStart"/>
      <w:r w:rsidRPr="00F07785">
        <w:rPr>
          <w:rFonts w:ascii="Times New Roman" w:hAnsi="Times New Roman"/>
          <w:sz w:val="24"/>
          <w:szCs w:val="24"/>
        </w:rPr>
        <w:t>його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запитом. </w:t>
      </w:r>
    </w:p>
    <w:p w14:paraId="5A7D508D" w14:textId="77777777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785">
        <w:rPr>
          <w:rFonts w:ascii="Times New Roman" w:hAnsi="Times New Roman"/>
          <w:sz w:val="24"/>
          <w:szCs w:val="24"/>
        </w:rPr>
        <w:t>Платіжна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</w:t>
      </w:r>
      <w:proofErr w:type="spellStart"/>
      <w:r w:rsidRPr="00F07785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розгляд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07785">
        <w:rPr>
          <w:rFonts w:ascii="Times New Roman" w:hAnsi="Times New Roman"/>
          <w:sz w:val="24"/>
          <w:szCs w:val="24"/>
        </w:rPr>
        <w:t>якої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 боку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ВПС, </w:t>
      </w:r>
      <w:proofErr w:type="spellStart"/>
      <w:r w:rsidRPr="00F07785">
        <w:rPr>
          <w:rFonts w:ascii="Times New Roman" w:hAnsi="Times New Roman"/>
          <w:sz w:val="24"/>
          <w:szCs w:val="24"/>
        </w:rPr>
        <w:t>Користувачів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або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інших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зацікавлених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осіб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07785">
        <w:rPr>
          <w:rFonts w:ascii="Times New Roman" w:hAnsi="Times New Roman"/>
          <w:sz w:val="24"/>
          <w:szCs w:val="24"/>
        </w:rPr>
        <w:t>вчинення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заходів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щодо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осіб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умови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її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обґрунтованості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Платіжною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</w:t>
      </w:r>
      <w:proofErr w:type="spellStart"/>
      <w:r w:rsidRPr="00F07785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07785">
        <w:rPr>
          <w:rFonts w:ascii="Times New Roman" w:hAnsi="Times New Roman"/>
          <w:sz w:val="24"/>
          <w:szCs w:val="24"/>
        </w:rPr>
        <w:t>може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F07785">
        <w:rPr>
          <w:rFonts w:ascii="Times New Roman" w:hAnsi="Times New Roman"/>
          <w:sz w:val="24"/>
          <w:szCs w:val="24"/>
        </w:rPr>
        <w:t>тридцяти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07785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днів</w:t>
      </w:r>
      <w:proofErr w:type="spellEnd"/>
      <w:r w:rsidRPr="00F07785">
        <w:rPr>
          <w:rFonts w:ascii="Times New Roman" w:hAnsi="Times New Roman"/>
          <w:sz w:val="24"/>
          <w:szCs w:val="24"/>
        </w:rPr>
        <w:t>.</w:t>
      </w:r>
    </w:p>
    <w:p w14:paraId="14881508" w14:textId="77777777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З метою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обгрунтованості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07785">
        <w:rPr>
          <w:rFonts w:ascii="Times New Roman" w:hAnsi="Times New Roman"/>
          <w:sz w:val="24"/>
          <w:szCs w:val="24"/>
        </w:rPr>
        <w:t>витребувати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осіб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мають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07785">
        <w:rPr>
          <w:rFonts w:ascii="Times New Roman" w:hAnsi="Times New Roman"/>
          <w:sz w:val="24"/>
          <w:szCs w:val="24"/>
        </w:rPr>
        <w:t>вимог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висловлених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7785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r w:rsidRPr="00F07785">
        <w:rPr>
          <w:rFonts w:ascii="Times New Roman" w:hAnsi="Times New Roman"/>
          <w:sz w:val="24"/>
          <w:szCs w:val="24"/>
        </w:rPr>
        <w:lastRenderedPageBreak/>
        <w:t xml:space="preserve">ВПС,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банк, Оператор </w:t>
      </w:r>
      <w:proofErr w:type="spellStart"/>
      <w:r w:rsidRPr="00F07785">
        <w:rPr>
          <w:rFonts w:ascii="Times New Roman" w:hAnsi="Times New Roman"/>
          <w:sz w:val="24"/>
          <w:szCs w:val="24"/>
        </w:rPr>
        <w:t>послуг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інші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особи), </w:t>
      </w:r>
      <w:proofErr w:type="spellStart"/>
      <w:r w:rsidRPr="00F07785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07785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інформацію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чи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також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F07785">
        <w:rPr>
          <w:rFonts w:ascii="Times New Roman" w:hAnsi="Times New Roman"/>
          <w:sz w:val="24"/>
          <w:szCs w:val="24"/>
        </w:rPr>
        <w:t>які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</w:p>
    <w:p w14:paraId="439B8549" w14:textId="77777777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7785">
        <w:rPr>
          <w:rFonts w:ascii="Times New Roman" w:hAnsi="Times New Roman"/>
          <w:b/>
          <w:bCs/>
          <w:sz w:val="24"/>
          <w:szCs w:val="24"/>
        </w:rPr>
        <w:t xml:space="preserve">У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разі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недотримання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вимог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коштів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Учасники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ВПС «ЮАПЕЙ» та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Користувачі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несуть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наступну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b/>
          <w:bCs/>
          <w:sz w:val="24"/>
          <w:szCs w:val="24"/>
        </w:rPr>
        <w:t>відповідальність</w:t>
      </w:r>
      <w:proofErr w:type="spellEnd"/>
      <w:r w:rsidRPr="00F07785">
        <w:rPr>
          <w:rFonts w:ascii="Times New Roman" w:hAnsi="Times New Roman"/>
          <w:b/>
          <w:bCs/>
          <w:sz w:val="24"/>
          <w:szCs w:val="24"/>
        </w:rPr>
        <w:t>:</w:t>
      </w:r>
    </w:p>
    <w:p w14:paraId="40550FE5" w14:textId="77777777" w:rsidR="00FB4E77" w:rsidRPr="00F07785" w:rsidRDefault="00FB4E77" w:rsidP="00D05A8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785">
        <w:rPr>
          <w:rFonts w:ascii="Times New Roman" w:hAnsi="Times New Roman"/>
          <w:sz w:val="24"/>
          <w:szCs w:val="24"/>
        </w:rPr>
        <w:t>Платник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несе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ВПС, </w:t>
      </w:r>
      <w:proofErr w:type="spellStart"/>
      <w:r w:rsidRPr="00F07785">
        <w:rPr>
          <w:rFonts w:ascii="Times New Roman" w:hAnsi="Times New Roman"/>
          <w:sz w:val="24"/>
          <w:szCs w:val="24"/>
        </w:rPr>
        <w:t>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його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обслуговує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укладеного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між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ними договору/</w:t>
      </w:r>
      <w:proofErr w:type="spellStart"/>
      <w:r w:rsidRPr="00F07785">
        <w:rPr>
          <w:rFonts w:ascii="Times New Roman" w:hAnsi="Times New Roman"/>
          <w:sz w:val="24"/>
          <w:szCs w:val="24"/>
        </w:rPr>
        <w:t>Публічного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договору.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несе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зазначеної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ним в </w:t>
      </w:r>
      <w:proofErr w:type="spellStart"/>
      <w:r w:rsidRPr="00F07785">
        <w:rPr>
          <w:rFonts w:ascii="Times New Roman" w:hAnsi="Times New Roman"/>
          <w:sz w:val="24"/>
          <w:szCs w:val="24"/>
        </w:rPr>
        <w:t>документі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суті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щодо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якої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цей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шкоду, </w:t>
      </w:r>
      <w:proofErr w:type="spellStart"/>
      <w:r w:rsidRPr="00F07785">
        <w:rPr>
          <w:rFonts w:ascii="Times New Roman" w:hAnsi="Times New Roman"/>
          <w:sz w:val="24"/>
          <w:szCs w:val="24"/>
        </w:rPr>
        <w:t>заподіяну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відшкодувати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шкоду, </w:t>
      </w:r>
      <w:proofErr w:type="spellStart"/>
      <w:r w:rsidRPr="00F07785">
        <w:rPr>
          <w:rFonts w:ascii="Times New Roman" w:hAnsi="Times New Roman"/>
          <w:sz w:val="24"/>
          <w:szCs w:val="24"/>
        </w:rPr>
        <w:t>заподіяну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ВПС, </w:t>
      </w:r>
      <w:proofErr w:type="spellStart"/>
      <w:r w:rsidRPr="00F07785">
        <w:rPr>
          <w:rFonts w:ascii="Times New Roman" w:hAnsi="Times New Roman"/>
          <w:sz w:val="24"/>
          <w:szCs w:val="24"/>
        </w:rPr>
        <w:t>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його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обслуговує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недотримання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цим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Платником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вимог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щодо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захисту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проведенням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незаконних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 компонентами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систем (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платіжні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інструменти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програмне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тощо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). При </w:t>
      </w:r>
      <w:proofErr w:type="spellStart"/>
      <w:r w:rsidRPr="00F07785">
        <w:rPr>
          <w:rFonts w:ascii="Times New Roman" w:hAnsi="Times New Roman"/>
          <w:sz w:val="24"/>
          <w:szCs w:val="24"/>
        </w:rPr>
        <w:t>цьому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ВПС, </w:t>
      </w:r>
      <w:proofErr w:type="spellStart"/>
      <w:r w:rsidRPr="00F07785">
        <w:rPr>
          <w:rFonts w:ascii="Times New Roman" w:hAnsi="Times New Roman"/>
          <w:sz w:val="24"/>
          <w:szCs w:val="24"/>
        </w:rPr>
        <w:t>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обслуговує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звільняється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Платником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</w:p>
    <w:p w14:paraId="1A4F9DE2" w14:textId="77777777" w:rsidR="00FB4E77" w:rsidRPr="00F07785" w:rsidRDefault="00FB4E77" w:rsidP="00D05A8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785">
        <w:rPr>
          <w:rFonts w:ascii="Times New Roman" w:hAnsi="Times New Roman"/>
          <w:sz w:val="24"/>
          <w:szCs w:val="24"/>
        </w:rPr>
        <w:t>Неналежний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отримувач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трьох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днів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дати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Розрахункового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банку про </w:t>
      </w:r>
      <w:proofErr w:type="spellStart"/>
      <w:r w:rsidRPr="00F07785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помилкового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ініціювати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еквівалентної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суми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коштів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банку, за </w:t>
      </w:r>
      <w:proofErr w:type="spellStart"/>
      <w:r w:rsidRPr="00F07785">
        <w:rPr>
          <w:rFonts w:ascii="Times New Roman" w:hAnsi="Times New Roman"/>
          <w:sz w:val="24"/>
          <w:szCs w:val="24"/>
        </w:rPr>
        <w:t>умови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цього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банку про </w:t>
      </w:r>
      <w:proofErr w:type="spellStart"/>
      <w:r w:rsidRPr="00F07785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помилкового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</w:p>
    <w:p w14:paraId="7B68AAD5" w14:textId="77777777" w:rsidR="00FB4E77" w:rsidRPr="00F07785" w:rsidRDefault="00FB4E77" w:rsidP="00D05A8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07785">
        <w:rPr>
          <w:rFonts w:ascii="Times New Roman" w:hAnsi="Times New Roman"/>
          <w:sz w:val="24"/>
          <w:szCs w:val="24"/>
        </w:rPr>
        <w:t>разі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своєчасного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Розрахунковим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банком </w:t>
      </w:r>
      <w:proofErr w:type="spellStart"/>
      <w:r w:rsidRPr="00F07785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отримувача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07785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помилкового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07785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неналежним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отримувачем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триденного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строку, </w:t>
      </w:r>
      <w:proofErr w:type="spellStart"/>
      <w:r w:rsidRPr="00F07785">
        <w:rPr>
          <w:rFonts w:ascii="Times New Roman" w:hAnsi="Times New Roman"/>
          <w:sz w:val="24"/>
          <w:szCs w:val="24"/>
        </w:rPr>
        <w:t>неналежний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отримувач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також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банку пеню в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0,1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цієї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суми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кожний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F07785">
        <w:rPr>
          <w:rFonts w:ascii="Times New Roman" w:hAnsi="Times New Roman"/>
          <w:sz w:val="24"/>
          <w:szCs w:val="24"/>
        </w:rPr>
        <w:t>починаючи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дати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помилкового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до дня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коштів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включно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яка не </w:t>
      </w:r>
      <w:proofErr w:type="spellStart"/>
      <w:r w:rsidRPr="00F07785">
        <w:rPr>
          <w:rFonts w:ascii="Times New Roman" w:hAnsi="Times New Roman"/>
          <w:sz w:val="24"/>
          <w:szCs w:val="24"/>
        </w:rPr>
        <w:t>може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суми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</w:p>
    <w:p w14:paraId="796EB55F" w14:textId="77777777" w:rsidR="00FB4E77" w:rsidRPr="00F07785" w:rsidRDefault="00FB4E77" w:rsidP="00D05A86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07785">
        <w:rPr>
          <w:rFonts w:ascii="Times New Roman" w:hAnsi="Times New Roman"/>
          <w:sz w:val="24"/>
          <w:szCs w:val="24"/>
        </w:rPr>
        <w:t>разі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втрати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суми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ініціатору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цю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суму, </w:t>
      </w:r>
      <w:proofErr w:type="spellStart"/>
      <w:r w:rsidRPr="00F07785">
        <w:rPr>
          <w:rFonts w:ascii="Times New Roman" w:hAnsi="Times New Roman"/>
          <w:sz w:val="24"/>
          <w:szCs w:val="24"/>
        </w:rPr>
        <w:t>сплачену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послуг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також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сплаченої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наданих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послуг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F07785">
        <w:rPr>
          <w:rFonts w:ascii="Times New Roman" w:hAnsi="Times New Roman"/>
          <w:sz w:val="24"/>
          <w:szCs w:val="24"/>
        </w:rPr>
        <w:t>разі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строку </w:t>
      </w:r>
      <w:proofErr w:type="spellStart"/>
      <w:r w:rsidRPr="00F07785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ініціатору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невитребуваного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який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становить 30 </w:t>
      </w:r>
      <w:proofErr w:type="spellStart"/>
      <w:r w:rsidRPr="00F07785">
        <w:rPr>
          <w:rFonts w:ascii="Times New Roman" w:hAnsi="Times New Roman"/>
          <w:sz w:val="24"/>
          <w:szCs w:val="24"/>
        </w:rPr>
        <w:t>робочих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днів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</w:t>
      </w:r>
      <w:proofErr w:type="spellStart"/>
      <w:r w:rsidRPr="00F07785">
        <w:rPr>
          <w:rFonts w:ascii="Times New Roman" w:hAnsi="Times New Roman"/>
          <w:sz w:val="24"/>
          <w:szCs w:val="24"/>
        </w:rPr>
        <w:t>починаючи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07785">
        <w:rPr>
          <w:rFonts w:ascii="Times New Roman" w:hAnsi="Times New Roman"/>
          <w:sz w:val="24"/>
          <w:szCs w:val="24"/>
        </w:rPr>
        <w:t>тридцять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четвертого </w:t>
      </w:r>
      <w:proofErr w:type="spellStart"/>
      <w:r w:rsidRPr="00F07785">
        <w:rPr>
          <w:rFonts w:ascii="Times New Roman" w:hAnsi="Times New Roman"/>
          <w:sz w:val="24"/>
          <w:szCs w:val="24"/>
        </w:rPr>
        <w:t>робочого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ініціатору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пеню у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розмірі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0,1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відсотка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суми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кожний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яка не </w:t>
      </w:r>
      <w:proofErr w:type="spellStart"/>
      <w:r w:rsidRPr="00F07785">
        <w:rPr>
          <w:rFonts w:ascii="Times New Roman" w:hAnsi="Times New Roman"/>
          <w:sz w:val="24"/>
          <w:szCs w:val="24"/>
        </w:rPr>
        <w:t>може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F07785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суми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крім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F07785">
        <w:rPr>
          <w:rFonts w:ascii="Times New Roman" w:hAnsi="Times New Roman"/>
          <w:sz w:val="24"/>
          <w:szCs w:val="24"/>
        </w:rPr>
        <w:t>таке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обумовлено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неявкою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Отримувача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</w:t>
      </w:r>
    </w:p>
    <w:p w14:paraId="2730F16D" w14:textId="77777777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785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спору </w:t>
      </w:r>
      <w:proofErr w:type="spellStart"/>
      <w:r w:rsidRPr="00F07785">
        <w:rPr>
          <w:rFonts w:ascii="Times New Roman" w:hAnsi="Times New Roman"/>
          <w:sz w:val="24"/>
          <w:szCs w:val="24"/>
        </w:rPr>
        <w:t>між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«ЮАПЕЙ» </w:t>
      </w:r>
      <w:proofErr w:type="spellStart"/>
      <w:r w:rsidRPr="00F07785">
        <w:rPr>
          <w:rFonts w:ascii="Times New Roman" w:hAnsi="Times New Roman"/>
          <w:sz w:val="24"/>
          <w:szCs w:val="24"/>
        </w:rPr>
        <w:t>ні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яких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не повинно </w:t>
      </w:r>
      <w:proofErr w:type="spellStart"/>
      <w:r w:rsidRPr="00F07785">
        <w:rPr>
          <w:rFonts w:ascii="Times New Roman" w:hAnsi="Times New Roman"/>
          <w:sz w:val="24"/>
          <w:szCs w:val="24"/>
        </w:rPr>
        <w:t>впливати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07785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переказу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коштів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F07785">
        <w:rPr>
          <w:rFonts w:ascii="Times New Roman" w:hAnsi="Times New Roman"/>
          <w:sz w:val="24"/>
          <w:szCs w:val="24"/>
        </w:rPr>
        <w:t>випадку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ризику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фiнансової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операцiї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внаслiдок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спору, </w:t>
      </w:r>
      <w:proofErr w:type="spellStart"/>
      <w:r w:rsidRPr="00F07785">
        <w:rPr>
          <w:rFonts w:ascii="Times New Roman" w:hAnsi="Times New Roman"/>
          <w:sz w:val="24"/>
          <w:szCs w:val="24"/>
        </w:rPr>
        <w:t>Платiжна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органiзацiя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має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F07785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рiшення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F07785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фiнансової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операцiї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07785">
        <w:rPr>
          <w:rFonts w:ascii="Times New Roman" w:hAnsi="Times New Roman"/>
          <w:sz w:val="24"/>
          <w:szCs w:val="24"/>
        </w:rPr>
        <w:t>рахунок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власних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коштiв</w:t>
      </w:r>
      <w:proofErr w:type="spellEnd"/>
      <w:r w:rsidRPr="00F07785">
        <w:rPr>
          <w:rFonts w:ascii="Times New Roman" w:hAnsi="Times New Roman"/>
          <w:sz w:val="24"/>
          <w:szCs w:val="24"/>
        </w:rPr>
        <w:t>.</w:t>
      </w:r>
    </w:p>
    <w:p w14:paraId="1BAABC70" w14:textId="77777777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Спори, </w:t>
      </w:r>
      <w:proofErr w:type="spellStart"/>
      <w:r w:rsidRPr="00F07785">
        <w:rPr>
          <w:rFonts w:ascii="Times New Roman" w:hAnsi="Times New Roman"/>
          <w:sz w:val="24"/>
          <w:szCs w:val="24"/>
        </w:rPr>
        <w:t>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між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«ЮАПЕЙ» та </w:t>
      </w:r>
      <w:proofErr w:type="spellStart"/>
      <w:r w:rsidRPr="00F07785">
        <w:rPr>
          <w:rFonts w:ascii="Times New Roman" w:hAnsi="Times New Roman"/>
          <w:sz w:val="24"/>
          <w:szCs w:val="24"/>
        </w:rPr>
        <w:t>Користувачами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0778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F07785">
        <w:rPr>
          <w:rFonts w:ascii="Times New Roman" w:hAnsi="Times New Roman"/>
          <w:sz w:val="24"/>
          <w:szCs w:val="24"/>
        </w:rPr>
        <w:t>разі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домовленості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F07785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спір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вирішуватиметься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785">
        <w:rPr>
          <w:rFonts w:ascii="Times New Roman" w:hAnsi="Times New Roman"/>
          <w:sz w:val="24"/>
          <w:szCs w:val="24"/>
        </w:rPr>
        <w:t>в судовому порядку</w:t>
      </w:r>
      <w:proofErr w:type="gram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згідно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норм чинного </w:t>
      </w:r>
      <w:proofErr w:type="spellStart"/>
      <w:r w:rsidRPr="00F07785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України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.  </w:t>
      </w:r>
    </w:p>
    <w:p w14:paraId="000BE65D" w14:textId="3422AFD1" w:rsidR="00FB4E77" w:rsidRPr="00F07785" w:rsidRDefault="00FB4E77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07785">
        <w:rPr>
          <w:rFonts w:ascii="Times New Roman" w:hAnsi="Times New Roman"/>
          <w:sz w:val="24"/>
          <w:szCs w:val="24"/>
        </w:rPr>
        <w:t xml:space="preserve">Спори, </w:t>
      </w:r>
      <w:proofErr w:type="spellStart"/>
      <w:r w:rsidRPr="00F07785">
        <w:rPr>
          <w:rFonts w:ascii="Times New Roman" w:hAnsi="Times New Roman"/>
          <w:sz w:val="24"/>
          <w:szCs w:val="24"/>
        </w:rPr>
        <w:t>що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між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Учасниками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ВПС «ЮАПЕЙ» та </w:t>
      </w:r>
      <w:proofErr w:type="spellStart"/>
      <w:r w:rsidRPr="00F07785">
        <w:rPr>
          <w:rFonts w:ascii="Times New Roman" w:hAnsi="Times New Roman"/>
          <w:sz w:val="24"/>
          <w:szCs w:val="24"/>
        </w:rPr>
        <w:t>Користувачами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F07785">
        <w:rPr>
          <w:rFonts w:ascii="Times New Roman" w:hAnsi="Times New Roman"/>
          <w:sz w:val="24"/>
          <w:szCs w:val="24"/>
        </w:rPr>
        <w:t>частині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термінів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спірних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питань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07785">
        <w:rPr>
          <w:rFonts w:ascii="Times New Roman" w:hAnsi="Times New Roman"/>
          <w:sz w:val="24"/>
          <w:szCs w:val="24"/>
        </w:rPr>
        <w:t>фіксування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звернень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785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07785">
        <w:rPr>
          <w:rFonts w:ascii="Times New Roman" w:hAnsi="Times New Roman"/>
          <w:sz w:val="24"/>
          <w:szCs w:val="24"/>
        </w:rPr>
        <w:t>встановленому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785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F07785">
        <w:rPr>
          <w:rFonts w:ascii="Times New Roman" w:hAnsi="Times New Roman"/>
          <w:sz w:val="24"/>
          <w:szCs w:val="24"/>
        </w:rPr>
        <w:t>або</w:t>
      </w:r>
      <w:proofErr w:type="spellEnd"/>
      <w:r w:rsidRPr="00F07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785">
        <w:rPr>
          <w:rFonts w:ascii="Times New Roman" w:hAnsi="Times New Roman"/>
          <w:sz w:val="24"/>
          <w:szCs w:val="24"/>
        </w:rPr>
        <w:t>в судовому порядку</w:t>
      </w:r>
      <w:proofErr w:type="gramEnd"/>
      <w:r w:rsidRPr="00F07785">
        <w:rPr>
          <w:rFonts w:ascii="Times New Roman" w:hAnsi="Times New Roman"/>
          <w:sz w:val="24"/>
          <w:szCs w:val="24"/>
        </w:rPr>
        <w:t>.</w:t>
      </w:r>
    </w:p>
    <w:p w14:paraId="31BFB447" w14:textId="77777777" w:rsidR="00D05A86" w:rsidRPr="00F07785" w:rsidRDefault="00D05A86" w:rsidP="00D05A86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7FACE4" w14:textId="1159BC34" w:rsidR="00B53723" w:rsidRPr="00F07785" w:rsidRDefault="00B53723" w:rsidP="00F07785">
      <w:pPr>
        <w:pStyle w:val="ac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</w:t>
      </w:r>
      <w:r w:rsidRPr="00F07785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14:paraId="10188EE8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>Національний банк України:</w:t>
      </w:r>
    </w:p>
    <w:p w14:paraId="192F194C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Адреси для листування та подання письмових звернень громадян:</w:t>
      </w:r>
    </w:p>
    <w:p w14:paraId="3EEA493C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Для листування: вул. Інститутська, 9, м. Київ – 8, 01601</w:t>
      </w:r>
    </w:p>
    <w:p w14:paraId="3D08475B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Для подання письмових звернень громадян: вул. Інститутська, 11-б, м. Київ – 8, 01601</w:t>
      </w:r>
    </w:p>
    <w:p w14:paraId="01A64F9F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Громадська приймальня: вул. Інститутська, 12, </w:t>
      </w:r>
      <w:proofErr w:type="spellStart"/>
      <w:r w:rsidRPr="00F07785">
        <w:rPr>
          <w:rFonts w:ascii="Times New Roman" w:hAnsi="Times New Roman"/>
          <w:sz w:val="24"/>
          <w:szCs w:val="24"/>
          <w:lang w:val="uk-UA" w:eastAsia="ru-RU"/>
        </w:rPr>
        <w:t>кімн</w:t>
      </w:r>
      <w:proofErr w:type="spellEnd"/>
      <w:r w:rsidRPr="00F07785">
        <w:rPr>
          <w:rFonts w:ascii="Times New Roman" w:hAnsi="Times New Roman"/>
          <w:sz w:val="24"/>
          <w:szCs w:val="24"/>
          <w:lang w:val="uk-UA" w:eastAsia="ru-RU"/>
        </w:rPr>
        <w:t>. 24</w:t>
      </w:r>
    </w:p>
    <w:p w14:paraId="644926E7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Електронна адреса: </w:t>
      </w:r>
      <w:hyperlink r:id="rId9" w:history="1">
        <w:r w:rsidRPr="00F07785">
          <w:rPr>
            <w:rFonts w:ascii="Times New Roman" w:hAnsi="Times New Roman"/>
            <w:sz w:val="24"/>
            <w:szCs w:val="24"/>
            <w:lang w:val="uk-UA" w:eastAsia="ru-RU"/>
          </w:rPr>
          <w:t>nbu@bank.gov.ua</w:t>
        </w:r>
      </w:hyperlink>
    </w:p>
    <w:p w14:paraId="65666933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Телефон: 0-800-505-240 </w:t>
      </w:r>
    </w:p>
    <w:p w14:paraId="0C30FEB2" w14:textId="3A95E3D8" w:rsidR="00B53723" w:rsidRPr="00F07785" w:rsidRDefault="00B53723" w:rsidP="00F07785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Офіційний сайт: </w:t>
      </w:r>
      <w:hyperlink r:id="rId10" w:history="1">
        <w:r w:rsidRPr="00F07785">
          <w:rPr>
            <w:rFonts w:ascii="Times New Roman" w:hAnsi="Times New Roman"/>
            <w:sz w:val="24"/>
            <w:szCs w:val="24"/>
          </w:rPr>
          <w:t>www.bank.gov.ua</w:t>
        </w:r>
      </w:hyperlink>
    </w:p>
    <w:p w14:paraId="4EA7A192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 xml:space="preserve">Національна комісія, що здійснює державне регулювання </w:t>
      </w:r>
    </w:p>
    <w:p w14:paraId="0FEE2CA4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 xml:space="preserve">у сфері ринків фінансових послуг: </w:t>
      </w:r>
    </w:p>
    <w:p w14:paraId="3F3357CF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Адреса: 01001, м. Київ-1, вул. Б. Грінченка, 3</w:t>
      </w:r>
    </w:p>
    <w:p w14:paraId="2FBC7DF0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Електронна адреса: </w:t>
      </w:r>
      <w:r w:rsidRPr="00F077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zvernenya@nfp.gov.ua</w:t>
      </w:r>
    </w:p>
    <w:p w14:paraId="6D381C94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Контактні телефони: </w:t>
      </w:r>
    </w:p>
    <w:p w14:paraId="1CAD430B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Cs/>
          <w:sz w:val="24"/>
          <w:szCs w:val="24"/>
          <w:lang w:val="uk-UA" w:eastAsia="ru-RU"/>
        </w:rPr>
        <w:t>Телефон довідкової телефонної служби:</w:t>
      </w: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 (044) 234-39-46</w:t>
      </w:r>
    </w:p>
    <w:p w14:paraId="7D3C95EB" w14:textId="23529DDA" w:rsidR="00B53723" w:rsidRPr="00F07785" w:rsidRDefault="00B53723" w:rsidP="00F07785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Офіційний сайт: nfp.gov.ua</w:t>
      </w:r>
    </w:p>
    <w:p w14:paraId="1850494A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>Державна служба України з питань безпечності харчових продуктів та захисту споживачів (</w:t>
      </w:r>
      <w:proofErr w:type="spellStart"/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>Держпродспоживслужба</w:t>
      </w:r>
      <w:proofErr w:type="spellEnd"/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 xml:space="preserve">): </w:t>
      </w:r>
    </w:p>
    <w:p w14:paraId="5B186B88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Контактна інформація для надсилання звернень:</w:t>
      </w:r>
    </w:p>
    <w:p w14:paraId="52E21D77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Поштова адреса: 01001, м. Київ, вул. </w:t>
      </w:r>
      <w:proofErr w:type="spellStart"/>
      <w:r w:rsidRPr="00F07785">
        <w:rPr>
          <w:rFonts w:ascii="Times New Roman" w:hAnsi="Times New Roman"/>
          <w:sz w:val="24"/>
          <w:szCs w:val="24"/>
          <w:lang w:val="uk-UA" w:eastAsia="ru-RU"/>
        </w:rPr>
        <w:t>Б.Грінченка</w:t>
      </w:r>
      <w:proofErr w:type="spellEnd"/>
      <w:r w:rsidRPr="00F07785">
        <w:rPr>
          <w:rFonts w:ascii="Times New Roman" w:hAnsi="Times New Roman"/>
          <w:sz w:val="24"/>
          <w:szCs w:val="24"/>
          <w:lang w:val="uk-UA" w:eastAsia="ru-RU"/>
        </w:rPr>
        <w:t>, 1</w:t>
      </w:r>
    </w:p>
    <w:p w14:paraId="47914EFF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Електронна адреса: </w:t>
      </w:r>
      <w:hyperlink r:id="rId11" w:history="1">
        <w:r w:rsidRPr="00F07785">
          <w:rPr>
            <w:rFonts w:ascii="Times New Roman" w:hAnsi="Times New Roman"/>
            <w:sz w:val="24"/>
            <w:szCs w:val="24"/>
            <w:lang w:val="uk-UA" w:eastAsia="ru-RU"/>
          </w:rPr>
          <w:t>z-elena@consumer.gov.ua</w:t>
        </w:r>
      </w:hyperlink>
    </w:p>
    <w:p w14:paraId="2C9074A4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Факс: (044) 279-48-83;</w:t>
      </w:r>
    </w:p>
    <w:p w14:paraId="3CD76F8D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Телефон: (044) 279-79-89</w:t>
      </w:r>
    </w:p>
    <w:p w14:paraId="4EF22012" w14:textId="337E7981" w:rsidR="00D05A86" w:rsidRPr="00F07785" w:rsidRDefault="00B53723" w:rsidP="00F07785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Офіційний сайт: </w:t>
      </w:r>
      <w:hyperlink r:id="rId12" w:history="1">
        <w:r w:rsidRPr="00F07785">
          <w:rPr>
            <w:rFonts w:ascii="Times New Roman" w:hAnsi="Times New Roman"/>
            <w:sz w:val="24"/>
            <w:szCs w:val="24"/>
            <w:lang w:val="uk-UA" w:eastAsia="ru-RU"/>
          </w:rPr>
          <w:t>http://www.consumer.gov.ua/</w:t>
        </w:r>
      </w:hyperlink>
    </w:p>
    <w:p w14:paraId="7C720F09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 xml:space="preserve">Головне управління </w:t>
      </w:r>
      <w:proofErr w:type="spellStart"/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>Держпродспоживслужби</w:t>
      </w:r>
      <w:proofErr w:type="spellEnd"/>
      <w:r w:rsidRPr="00F07785">
        <w:rPr>
          <w:rFonts w:ascii="Times New Roman" w:hAnsi="Times New Roman"/>
          <w:b/>
          <w:sz w:val="24"/>
          <w:szCs w:val="24"/>
          <w:lang w:val="uk-UA" w:eastAsia="ru-RU"/>
        </w:rPr>
        <w:t xml:space="preserve"> в м. Києві:</w:t>
      </w:r>
    </w:p>
    <w:p w14:paraId="3EB7D145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Контактна інформація для надсилання звернень:</w:t>
      </w:r>
    </w:p>
    <w:p w14:paraId="2CE4076E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Поштова адреса: 04053, м. Київ, вул. </w:t>
      </w:r>
      <w:proofErr w:type="spellStart"/>
      <w:r w:rsidRPr="00F07785">
        <w:rPr>
          <w:rFonts w:ascii="Times New Roman" w:hAnsi="Times New Roman"/>
          <w:sz w:val="24"/>
          <w:szCs w:val="24"/>
          <w:lang w:val="uk-UA" w:eastAsia="ru-RU"/>
        </w:rPr>
        <w:t>Некрасовська</w:t>
      </w:r>
      <w:proofErr w:type="spellEnd"/>
      <w:r w:rsidRPr="00F07785">
        <w:rPr>
          <w:rFonts w:ascii="Times New Roman" w:hAnsi="Times New Roman"/>
          <w:sz w:val="24"/>
          <w:szCs w:val="24"/>
          <w:lang w:val="uk-UA" w:eastAsia="ru-RU"/>
        </w:rPr>
        <w:t>, 10/8</w:t>
      </w:r>
    </w:p>
    <w:p w14:paraId="42FDC5C0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 xml:space="preserve">Електронна адреса: </w:t>
      </w:r>
      <w:hyperlink r:id="rId13" w:history="1">
        <w:r w:rsidRPr="00F07785">
          <w:rPr>
            <w:rFonts w:ascii="Times New Roman" w:hAnsi="Times New Roman"/>
            <w:sz w:val="24"/>
            <w:szCs w:val="24"/>
            <w:lang w:val="uk-UA" w:eastAsia="ru-RU"/>
          </w:rPr>
          <w:t>info@kiev.dpss.gov.ua</w:t>
        </w:r>
      </w:hyperlink>
    </w:p>
    <w:p w14:paraId="1C9838D5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Факс: (044) 486-40-27;</w:t>
      </w:r>
    </w:p>
    <w:p w14:paraId="16C9144E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Телефон: (044) 486-54-86</w:t>
      </w:r>
    </w:p>
    <w:p w14:paraId="3B1CAE68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Телефон гарячої лінії: (044) 486-95-85</w:t>
      </w:r>
    </w:p>
    <w:p w14:paraId="565B9CDA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785">
        <w:rPr>
          <w:rFonts w:ascii="Times New Roman" w:hAnsi="Times New Roman"/>
          <w:sz w:val="24"/>
          <w:szCs w:val="24"/>
          <w:lang w:val="uk-UA" w:eastAsia="ru-RU"/>
        </w:rPr>
        <w:t>Офіційний сайт: http://www.kiev.dpss.gov.ua/</w:t>
      </w:r>
    </w:p>
    <w:p w14:paraId="139D4591" w14:textId="77777777" w:rsidR="00B53723" w:rsidRPr="00F07785" w:rsidRDefault="00B53723" w:rsidP="00B53723">
      <w:pPr>
        <w:pStyle w:val="ac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3829482" w14:textId="77777777" w:rsidR="00B53723" w:rsidRPr="00F07785" w:rsidRDefault="00B53723" w:rsidP="00721A01">
      <w:pPr>
        <w:pStyle w:val="ac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7785">
        <w:rPr>
          <w:rFonts w:ascii="Times New Roman" w:hAnsi="Times New Roman"/>
          <w:b/>
          <w:i/>
          <w:sz w:val="24"/>
          <w:szCs w:val="24"/>
          <w:lang w:val="uk-UA" w:eastAsia="uk-UA"/>
        </w:rPr>
        <w:t>Щодо розміру винагороди фінансової установи у разі, коли вона пропонує фінансові послуги, що надаються іншими фінансовими установами</w:t>
      </w:r>
    </w:p>
    <w:p w14:paraId="138807FC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>ТОВ «ФК ЮАПЕЙ» не пропонує фінансові послуги, що надаються іншими фінансовими установами.</w:t>
      </w:r>
    </w:p>
    <w:p w14:paraId="64A71055" w14:textId="77777777" w:rsidR="00B53723" w:rsidRPr="00F07785" w:rsidRDefault="00B53723" w:rsidP="00B53723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2A7926" w14:textId="77777777" w:rsidR="00B53723" w:rsidRPr="00F07785" w:rsidRDefault="00B53723" w:rsidP="00B53723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07785">
        <w:rPr>
          <w:rFonts w:ascii="Times New Roman" w:hAnsi="Times New Roman"/>
          <w:sz w:val="24"/>
          <w:szCs w:val="24"/>
          <w:lang w:val="uk-UA"/>
        </w:rPr>
        <w:t xml:space="preserve">При наданні ТОВ «ФК ЮАПЕЙ» фінансових послуг з надання гарантій та </w:t>
      </w:r>
      <w:proofErr w:type="spellStart"/>
      <w:r w:rsidRPr="00F07785">
        <w:rPr>
          <w:rFonts w:ascii="Times New Roman" w:hAnsi="Times New Roman"/>
          <w:sz w:val="24"/>
          <w:szCs w:val="24"/>
          <w:lang w:val="uk-UA"/>
        </w:rPr>
        <w:t>поручительств</w:t>
      </w:r>
      <w:proofErr w:type="spellEnd"/>
      <w:r w:rsidRPr="00F07785">
        <w:rPr>
          <w:rFonts w:ascii="Times New Roman" w:hAnsi="Times New Roman"/>
          <w:sz w:val="24"/>
          <w:szCs w:val="24"/>
          <w:lang w:val="uk-UA"/>
        </w:rPr>
        <w:t xml:space="preserve">, а також надання послуг з факторингу, інформація передбачена ст. 12 ЗУ «Про фінансові послуги та державне регулювання ринків фінансових послуг» надається Клієнтам безпосередньо при укладенні у письмовому вигляді відповідних договорів.  </w:t>
      </w:r>
    </w:p>
    <w:p w14:paraId="107692B4" w14:textId="77777777" w:rsidR="0051024C" w:rsidRPr="00F07785" w:rsidRDefault="0051024C" w:rsidP="001E1EC3">
      <w:pPr>
        <w:pStyle w:val="ac"/>
        <w:ind w:firstLine="851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sectPr w:rsidR="0051024C" w:rsidRPr="00F07785" w:rsidSect="001C2EE1">
      <w:headerReference w:type="default" r:id="rId14"/>
      <w:footerReference w:type="default" r:id="rId15"/>
      <w:pgSz w:w="11906" w:h="16838"/>
      <w:pgMar w:top="2552" w:right="707" w:bottom="317" w:left="1418" w:header="3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ECB8" w14:textId="77777777" w:rsidR="007D410D" w:rsidRDefault="007D410D" w:rsidP="00383EC4">
      <w:pPr>
        <w:spacing w:after="0" w:line="240" w:lineRule="auto"/>
      </w:pPr>
      <w:r>
        <w:separator/>
      </w:r>
    </w:p>
  </w:endnote>
  <w:endnote w:type="continuationSeparator" w:id="0">
    <w:p w14:paraId="60B6FF12" w14:textId="77777777" w:rsidR="007D410D" w:rsidRDefault="007D410D" w:rsidP="0038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Y="1"/>
      <w:tblOverlap w:val="never"/>
      <w:tblW w:w="9903" w:type="dxa"/>
      <w:tblInd w:w="0" w:type="dxa"/>
      <w:tblLook w:val="04A0" w:firstRow="1" w:lastRow="0" w:firstColumn="1" w:lastColumn="0" w:noHBand="0" w:noVBand="1"/>
    </w:tblPr>
    <w:tblGrid>
      <w:gridCol w:w="9903"/>
    </w:tblGrid>
    <w:tr w:rsidR="00847CD2" w:rsidRPr="00F07785" w14:paraId="6557440F" w14:textId="77777777" w:rsidTr="00502877">
      <w:trPr>
        <w:trHeight w:val="1035"/>
      </w:trPr>
      <w:tc>
        <w:tcPr>
          <w:tcW w:w="9903" w:type="dxa"/>
          <w:tcBorders>
            <w:top w:val="nil"/>
            <w:left w:val="nil"/>
            <w:bottom w:val="nil"/>
            <w:right w:val="nil"/>
          </w:tcBorders>
        </w:tcPr>
        <w:p w14:paraId="616D27A9" w14:textId="77777777" w:rsidR="003241F4" w:rsidRPr="000C5CD3" w:rsidRDefault="0010602A" w:rsidP="00FC4C01">
          <w:pPr>
            <w:autoSpaceDE w:val="0"/>
            <w:autoSpaceDN w:val="0"/>
            <w:adjustRightInd w:val="0"/>
            <w:spacing w:before="120" w:after="0" w:line="240" w:lineRule="auto"/>
            <w:ind w:left="0" w:right="0" w:firstLine="0"/>
            <w:jc w:val="center"/>
            <w:rPr>
              <w:rFonts w:ascii="Gotham Pro" w:hAnsi="Gotham Pro" w:cs="Gotham Pro"/>
              <w:b/>
              <w:snapToGrid w:val="0"/>
              <w:sz w:val="20"/>
              <w:lang w:val="ru-RU"/>
            </w:rPr>
          </w:pPr>
          <w:r w:rsidRPr="000C5CD3">
            <w:rPr>
              <w:rFonts w:ascii="Gotham Pro" w:hAnsi="Gotham Pro" w:cs="Gotham Pro"/>
              <w:b/>
              <w:sz w:val="20"/>
              <w:lang w:val="ru-RU"/>
            </w:rPr>
            <w:t xml:space="preserve">ТОВАРИСТВО З ОБМЕЖЕНОЮ ВІДПОВІДАЛЬНІСТЮ </w:t>
          </w:r>
          <w:r w:rsidRPr="000C5CD3">
            <w:rPr>
              <w:rFonts w:ascii="Gotham Pro" w:hAnsi="Gotham Pro" w:cs="Gotham Pro"/>
              <w:b/>
              <w:snapToGrid w:val="0"/>
              <w:sz w:val="20"/>
              <w:lang w:val="ru-RU"/>
            </w:rPr>
            <w:t>«ФІНАНСОВА КОМПАНІЯ ЮАПЕЙ»</w:t>
          </w:r>
        </w:p>
        <w:p w14:paraId="339756D0" w14:textId="77777777" w:rsidR="00502877" w:rsidRPr="000C5CD3" w:rsidRDefault="00AC18DC" w:rsidP="00FC4C01">
          <w:pPr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rFonts w:ascii="Gotham Pro" w:hAnsi="Gotham Pro" w:cs="Gotham Pro"/>
              <w:sz w:val="16"/>
              <w:lang w:val="ru-RU"/>
            </w:rPr>
          </w:pPr>
          <w:proofErr w:type="spellStart"/>
          <w:r w:rsidRPr="000C5CD3">
            <w:rPr>
              <w:rFonts w:ascii="Gotham Pro" w:hAnsi="Gotham Pro" w:cs="Gotham Pro"/>
              <w:sz w:val="16"/>
              <w:lang w:val="ru-RU"/>
            </w:rPr>
            <w:t>пр-кт</w:t>
          </w:r>
          <w:proofErr w:type="spellEnd"/>
          <w:r w:rsidRPr="000C5CD3">
            <w:rPr>
              <w:rFonts w:ascii="Gotham Pro" w:hAnsi="Gotham Pro" w:cs="Gotham Pro"/>
              <w:sz w:val="16"/>
              <w:lang w:val="ru-RU"/>
            </w:rPr>
            <w:t xml:space="preserve"> </w:t>
          </w:r>
          <w:proofErr w:type="spellStart"/>
          <w:r w:rsidRPr="000C5CD3">
            <w:rPr>
              <w:rFonts w:ascii="Gotham Pro" w:hAnsi="Gotham Pro" w:cs="Gotham Pro"/>
              <w:sz w:val="16"/>
              <w:lang w:val="ru-RU"/>
            </w:rPr>
            <w:t>Оболонський</w:t>
          </w:r>
          <w:proofErr w:type="spellEnd"/>
          <w:r w:rsidRPr="000C5CD3">
            <w:rPr>
              <w:rFonts w:ascii="Gotham Pro" w:hAnsi="Gotham Pro" w:cs="Gotham Pro"/>
              <w:sz w:val="16"/>
              <w:lang w:val="ru-RU"/>
            </w:rPr>
            <w:t>, буд.</w:t>
          </w:r>
          <w:proofErr w:type="gramStart"/>
          <w:r w:rsidRPr="000C5CD3">
            <w:rPr>
              <w:rFonts w:ascii="Gotham Pro" w:hAnsi="Gotham Pro" w:cs="Gotham Pro"/>
              <w:sz w:val="16"/>
              <w:lang w:val="ru-RU"/>
            </w:rPr>
            <w:t>35</w:t>
          </w:r>
          <w:r w:rsidR="00847CD2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r w:rsidR="00202D96" w:rsidRPr="000C5CD3">
            <w:rPr>
              <w:rFonts w:ascii="Segoe UI Symbol" w:eastAsiaTheme="minorEastAsia" w:hAnsi="Segoe UI Symbol" w:cs="Segoe UI Symbol"/>
              <w:color w:val="auto"/>
              <w:sz w:val="14"/>
              <w:szCs w:val="26"/>
              <w:lang w:val="ru-RU"/>
            </w:rPr>
            <w:t>♦</w:t>
          </w:r>
          <w:proofErr w:type="gramEnd"/>
          <w:r w:rsidR="00847CD2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proofErr w:type="spellStart"/>
          <w:r w:rsidR="00847CD2" w:rsidRPr="000C5CD3">
            <w:rPr>
              <w:rFonts w:ascii="Gotham Pro" w:hAnsi="Gotham Pro" w:cs="Gotham Pro"/>
              <w:sz w:val="16"/>
              <w:lang w:val="ru-RU"/>
            </w:rPr>
            <w:t>Київ</w:t>
          </w:r>
          <w:proofErr w:type="spellEnd"/>
          <w:r w:rsidR="00847CD2" w:rsidRPr="000C5CD3">
            <w:rPr>
              <w:rFonts w:ascii="Gotham Pro" w:hAnsi="Gotham Pro" w:cs="Gotham Pro"/>
              <w:sz w:val="16"/>
              <w:lang w:val="ru-RU"/>
            </w:rPr>
            <w:t xml:space="preserve"> 0</w:t>
          </w:r>
          <w:r w:rsidRPr="000C5CD3">
            <w:rPr>
              <w:rFonts w:ascii="Gotham Pro" w:hAnsi="Gotham Pro" w:cs="Gotham Pro"/>
              <w:sz w:val="16"/>
              <w:lang w:val="ru-RU"/>
            </w:rPr>
            <w:t>4205</w:t>
          </w:r>
          <w:r w:rsidR="00202D96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r w:rsidR="00202D96" w:rsidRPr="000C5CD3">
            <w:rPr>
              <w:rFonts w:ascii="Segoe UI Symbol" w:eastAsiaTheme="minorEastAsia" w:hAnsi="Segoe UI Symbol" w:cs="Segoe UI Symbol"/>
              <w:color w:val="auto"/>
              <w:sz w:val="14"/>
              <w:szCs w:val="26"/>
              <w:lang w:val="ru-RU"/>
            </w:rPr>
            <w:t>♦</w:t>
          </w:r>
          <w:r w:rsidR="00202D96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proofErr w:type="spellStart"/>
          <w:r w:rsidR="00847CD2" w:rsidRPr="000C5CD3">
            <w:rPr>
              <w:rFonts w:ascii="Gotham Pro" w:hAnsi="Gotham Pro" w:cs="Gotham Pro"/>
              <w:sz w:val="16"/>
              <w:lang w:val="ru-RU"/>
            </w:rPr>
            <w:t>Україна</w:t>
          </w:r>
          <w:proofErr w:type="spellEnd"/>
          <w:r w:rsidR="00202D96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r w:rsidR="00202D96" w:rsidRPr="000C5CD3">
            <w:rPr>
              <w:rFonts w:ascii="Segoe UI Symbol" w:eastAsiaTheme="minorEastAsia" w:hAnsi="Segoe UI Symbol" w:cs="Segoe UI Symbol"/>
              <w:color w:val="auto"/>
              <w:sz w:val="14"/>
              <w:szCs w:val="26"/>
              <w:lang w:val="ru-RU"/>
            </w:rPr>
            <w:t>♦</w:t>
          </w:r>
          <w:r w:rsidR="00202D96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r w:rsidR="00847CD2" w:rsidRPr="000C5CD3">
            <w:rPr>
              <w:rFonts w:ascii="Gotham Pro" w:hAnsi="Gotham Pro" w:cs="Gotham Pro"/>
              <w:sz w:val="16"/>
              <w:lang w:val="ru-RU"/>
            </w:rPr>
            <w:t xml:space="preserve">+38 044 </w:t>
          </w:r>
          <w:r w:rsidRPr="000C5CD3">
            <w:rPr>
              <w:rFonts w:ascii="Gotham Pro" w:hAnsi="Gotham Pro" w:cs="Gotham Pro"/>
              <w:sz w:val="16"/>
              <w:lang w:val="ru-RU"/>
            </w:rPr>
            <w:t>364</w:t>
          </w:r>
          <w:r w:rsidR="00847CD2" w:rsidRPr="000C5CD3">
            <w:rPr>
              <w:rFonts w:ascii="Gotham Pro" w:hAnsi="Gotham Pro" w:cs="Gotham Pro"/>
              <w:sz w:val="16"/>
              <w:lang w:val="ru-RU"/>
            </w:rPr>
            <w:t xml:space="preserve"> </w:t>
          </w:r>
          <w:r w:rsidRPr="000C5CD3">
            <w:rPr>
              <w:rFonts w:ascii="Gotham Pro" w:hAnsi="Gotham Pro" w:cs="Gotham Pro"/>
              <w:sz w:val="16"/>
              <w:lang w:val="ru-RU"/>
            </w:rPr>
            <w:t>11</w:t>
          </w:r>
          <w:r w:rsidR="00847CD2" w:rsidRPr="000C5CD3">
            <w:rPr>
              <w:rFonts w:ascii="Gotham Pro" w:hAnsi="Gotham Pro" w:cs="Gotham Pro"/>
              <w:sz w:val="16"/>
              <w:lang w:val="ru-RU"/>
            </w:rPr>
            <w:t xml:space="preserve"> </w:t>
          </w:r>
          <w:r w:rsidR="003F0C5C" w:rsidRPr="000C5CD3">
            <w:rPr>
              <w:rFonts w:ascii="Gotham Pro" w:hAnsi="Gotham Pro" w:cs="Gotham Pro"/>
              <w:sz w:val="16"/>
              <w:lang w:val="ru-RU"/>
            </w:rPr>
            <w:t>44</w:t>
          </w:r>
          <w:r w:rsidR="00202D96" w:rsidRPr="000C5CD3">
            <w:rPr>
              <w:rFonts w:ascii="Gotham Pro" w:hAnsi="Gotham Pro" w:cs="Gotham Pro"/>
              <w:sz w:val="16"/>
              <w:lang w:val="ru-RU"/>
            </w:rPr>
            <w:t xml:space="preserve">  </w:t>
          </w:r>
          <w:r w:rsidR="00202D96" w:rsidRPr="000C5CD3">
            <w:rPr>
              <w:rFonts w:ascii="Segoe UI Symbol" w:eastAsiaTheme="minorEastAsia" w:hAnsi="Segoe UI Symbol" w:cs="Segoe UI Symbol"/>
              <w:color w:val="auto"/>
              <w:sz w:val="14"/>
              <w:szCs w:val="26"/>
              <w:lang w:val="ru-RU"/>
            </w:rPr>
            <w:t xml:space="preserve">♦ </w:t>
          </w:r>
          <w:r w:rsidR="00202D96" w:rsidRPr="000C5CD3">
            <w:rPr>
              <w:rFonts w:ascii="Gotham Pro" w:hAnsi="Gotham Pro" w:cs="Gotham Pro"/>
              <w:sz w:val="16"/>
              <w:lang w:val="ru-RU"/>
            </w:rPr>
            <w:t xml:space="preserve"> </w:t>
          </w:r>
          <w:r w:rsidR="00502877" w:rsidRPr="000C5CD3">
            <w:rPr>
              <w:rFonts w:ascii="Gotham Pro" w:hAnsi="Gotham Pro" w:cs="Gotham Pro"/>
              <w:sz w:val="16"/>
            </w:rPr>
            <w:t>info</w:t>
          </w:r>
          <w:r w:rsidR="00502877" w:rsidRPr="000C5CD3">
            <w:rPr>
              <w:rFonts w:ascii="Gotham Pro" w:hAnsi="Gotham Pro" w:cs="Gotham Pro"/>
              <w:sz w:val="16"/>
              <w:lang w:val="ru-RU"/>
            </w:rPr>
            <w:t>@</w:t>
          </w:r>
          <w:proofErr w:type="spellStart"/>
          <w:r w:rsidR="00502877" w:rsidRPr="000C5CD3">
            <w:rPr>
              <w:rFonts w:ascii="Gotham Pro" w:hAnsi="Gotham Pro" w:cs="Gotham Pro"/>
              <w:sz w:val="16"/>
            </w:rPr>
            <w:t>uapay</w:t>
          </w:r>
          <w:proofErr w:type="spellEnd"/>
          <w:r w:rsidR="00502877" w:rsidRPr="000C5CD3">
            <w:rPr>
              <w:rFonts w:ascii="Gotham Pro" w:hAnsi="Gotham Pro" w:cs="Gotham Pro"/>
              <w:sz w:val="16"/>
              <w:lang w:val="ru-RU"/>
            </w:rPr>
            <w:t>.</w:t>
          </w:r>
          <w:proofErr w:type="spellStart"/>
          <w:r w:rsidR="00502877" w:rsidRPr="000C5CD3">
            <w:rPr>
              <w:rFonts w:ascii="Gotham Pro" w:hAnsi="Gotham Pro" w:cs="Gotham Pro"/>
              <w:sz w:val="16"/>
            </w:rPr>
            <w:t>ua</w:t>
          </w:r>
          <w:proofErr w:type="spellEnd"/>
        </w:p>
        <w:p w14:paraId="4FEA29ED" w14:textId="77777777" w:rsidR="00847CD2" w:rsidRPr="007173EF" w:rsidRDefault="009834E8" w:rsidP="0010602A">
          <w:pPr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sz w:val="20"/>
              <w:lang w:val="ru-RU"/>
            </w:rPr>
          </w:pPr>
          <w:r>
            <w:rPr>
              <w:rFonts w:ascii="Gotham Pro" w:hAnsi="Gotham Pro" w:cs="Gotham Pro"/>
              <w:sz w:val="16"/>
              <w:lang w:val="ru-RU"/>
            </w:rPr>
            <w:t>п</w:t>
          </w:r>
          <w:r w:rsidR="007173EF" w:rsidRPr="007173EF">
            <w:rPr>
              <w:rFonts w:ascii="Gotham Pro" w:hAnsi="Gotham Pro" w:cs="Gotham Pro"/>
              <w:sz w:val="16"/>
              <w:lang w:val="ru-RU"/>
            </w:rPr>
            <w:t xml:space="preserve">/р № 26507015511601 </w:t>
          </w:r>
          <w:r w:rsidR="007173EF" w:rsidRPr="007173EF">
            <w:rPr>
              <w:rFonts w:ascii="Segoe UI Symbol" w:hAnsi="Segoe UI Symbol" w:cs="Segoe UI Symbol"/>
              <w:sz w:val="16"/>
              <w:lang w:val="ru-RU"/>
            </w:rPr>
            <w:t>♦</w:t>
          </w:r>
          <w:r w:rsidR="007173EF" w:rsidRPr="007173EF">
            <w:rPr>
              <w:rFonts w:ascii="Gotham Pro" w:hAnsi="Gotham Pro" w:cs="Gotham Pro"/>
              <w:sz w:val="16"/>
              <w:lang w:val="ru-RU"/>
            </w:rPr>
            <w:t xml:space="preserve"> в ПАТ «Альфа</w:t>
          </w:r>
          <w:r w:rsidR="0010602A">
            <w:rPr>
              <w:rFonts w:ascii="Gotham Pro" w:hAnsi="Gotham Pro" w:cs="Gotham Pro"/>
              <w:sz w:val="16"/>
              <w:lang w:val="ru-RU"/>
            </w:rPr>
            <w:t>-</w:t>
          </w:r>
          <w:r w:rsidR="007173EF" w:rsidRPr="007173EF">
            <w:rPr>
              <w:rFonts w:ascii="Gotham Pro" w:hAnsi="Gotham Pro" w:cs="Gotham Pro"/>
              <w:sz w:val="16"/>
              <w:lang w:val="ru-RU"/>
            </w:rPr>
            <w:t xml:space="preserve">Банк» </w:t>
          </w:r>
          <w:r w:rsidR="007173EF" w:rsidRPr="007173EF">
            <w:rPr>
              <w:rFonts w:ascii="Segoe UI Symbol" w:hAnsi="Segoe UI Symbol" w:cs="Segoe UI Symbol"/>
              <w:sz w:val="16"/>
              <w:lang w:val="ru-RU"/>
            </w:rPr>
            <w:t>♦</w:t>
          </w:r>
          <w:r w:rsidR="007173EF" w:rsidRPr="007173EF">
            <w:rPr>
              <w:rFonts w:ascii="Gotham Pro" w:hAnsi="Gotham Pro" w:cs="Gotham Pro"/>
              <w:sz w:val="16"/>
              <w:lang w:val="ru-RU"/>
            </w:rPr>
            <w:t xml:space="preserve"> МФО 300346 </w:t>
          </w:r>
          <w:r w:rsidR="007173EF" w:rsidRPr="007173EF">
            <w:rPr>
              <w:rFonts w:ascii="Segoe UI Symbol" w:hAnsi="Segoe UI Symbol" w:cs="Segoe UI Symbol"/>
              <w:sz w:val="16"/>
              <w:lang w:val="ru-RU"/>
            </w:rPr>
            <w:t>♦</w:t>
          </w:r>
          <w:r w:rsidR="007173EF" w:rsidRPr="007173EF">
            <w:rPr>
              <w:rFonts w:ascii="Gotham Pro" w:hAnsi="Gotham Pro" w:cs="Gotham Pro"/>
              <w:sz w:val="16"/>
              <w:lang w:val="ru-RU"/>
            </w:rPr>
            <w:t xml:space="preserve"> Код ЄДРПОУ 39407959</w:t>
          </w:r>
        </w:p>
      </w:tc>
    </w:tr>
  </w:tbl>
  <w:p w14:paraId="5FDAE0EB" w14:textId="77777777" w:rsidR="00502877" w:rsidRPr="003F0C5C" w:rsidRDefault="00217058" w:rsidP="00502877">
    <w:pPr>
      <w:pStyle w:val="a5"/>
      <w:ind w:left="0" w:firstLine="0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2C84ED05" wp14:editId="0285A3E6">
          <wp:simplePos x="0" y="0"/>
          <wp:positionH relativeFrom="column">
            <wp:posOffset>5715</wp:posOffset>
          </wp:positionH>
          <wp:positionV relativeFrom="paragraph">
            <wp:posOffset>-3710001</wp:posOffset>
          </wp:positionV>
          <wp:extent cx="6948000" cy="4543200"/>
          <wp:effectExtent l="0" t="0" r="571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7" name="uapay_top_edit_no_text_2_edddit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45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37FAB" w14:textId="77777777" w:rsidR="0081332E" w:rsidRDefault="00502877" w:rsidP="00502877">
    <w:pPr>
      <w:pStyle w:val="a5"/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BED622E" wp14:editId="3CDC5E53">
          <wp:simplePos x="0" y="0"/>
          <wp:positionH relativeFrom="column">
            <wp:posOffset>39370</wp:posOffset>
          </wp:positionH>
          <wp:positionV relativeFrom="paragraph">
            <wp:posOffset>5553075</wp:posOffset>
          </wp:positionV>
          <wp:extent cx="6961031" cy="451485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pay_bott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031" cy="451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8637" w14:textId="77777777" w:rsidR="007D410D" w:rsidRDefault="007D410D" w:rsidP="00383EC4">
      <w:pPr>
        <w:spacing w:after="0" w:line="240" w:lineRule="auto"/>
      </w:pPr>
      <w:r>
        <w:separator/>
      </w:r>
    </w:p>
  </w:footnote>
  <w:footnote w:type="continuationSeparator" w:id="0">
    <w:p w14:paraId="38212CCF" w14:textId="77777777" w:rsidR="007D410D" w:rsidRDefault="007D410D" w:rsidP="0038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9BD2" w14:textId="77777777" w:rsidR="00383EC4" w:rsidRPr="00D64E74" w:rsidRDefault="00217058" w:rsidP="00D64E7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716DF8A8" wp14:editId="22E93DE5">
          <wp:simplePos x="0" y="0"/>
          <wp:positionH relativeFrom="column">
            <wp:posOffset>38735</wp:posOffset>
          </wp:positionH>
          <wp:positionV relativeFrom="paragraph">
            <wp:posOffset>265430</wp:posOffset>
          </wp:positionV>
          <wp:extent cx="6220460" cy="1083310"/>
          <wp:effectExtent l="0" t="0" r="889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apay_top_edit_no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6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F82D37" wp14:editId="13EB8B92">
              <wp:simplePos x="0" y="0"/>
              <wp:positionH relativeFrom="column">
                <wp:posOffset>1580515</wp:posOffset>
              </wp:positionH>
              <wp:positionV relativeFrom="paragraph">
                <wp:posOffset>638810</wp:posOffset>
              </wp:positionV>
              <wp:extent cx="728980" cy="260350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980" cy="260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D1B57F0" w14:textId="77777777" w:rsidR="003A1DF8" w:rsidRPr="00383EC4" w:rsidRDefault="003A1DF8" w:rsidP="003A1DF8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sz w:val="20"/>
                            </w:rPr>
                          </w:pPr>
                          <w:r w:rsidRPr="00383EC4">
                            <w:rPr>
                              <w:rFonts w:eastAsia="Proxima Nova"/>
                              <w:color w:val="373D40"/>
                              <w:sz w:val="24"/>
                            </w:rPr>
                            <w:t>СЕРВІС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F82D37" id="Rectangle 75" o:spid="_x0000_s1026" style="position:absolute;left:0;text-align:left;margin-left:124.45pt;margin-top:50.3pt;width:57.4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" filled="f" stroked="f">
              <v:textbox inset="0,0,0,0">
                <w:txbxContent>
                  <w:p w14:paraId="6D1B57F0" w14:textId="77777777" w:rsidR="003A1DF8" w:rsidRPr="00383EC4" w:rsidRDefault="003A1DF8" w:rsidP="003A1DF8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sz w:val="20"/>
                      </w:rPr>
                    </w:pPr>
                    <w:r w:rsidRPr="00383EC4">
                      <w:rPr>
                        <w:rFonts w:eastAsia="Proxima Nova"/>
                        <w:color w:val="373D40"/>
                        <w:sz w:val="24"/>
                      </w:rPr>
                      <w:t>СЕРВІС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62BCB" wp14:editId="5ADAD6B9">
              <wp:simplePos x="0" y="0"/>
              <wp:positionH relativeFrom="column">
                <wp:posOffset>1580515</wp:posOffset>
              </wp:positionH>
              <wp:positionV relativeFrom="paragraph">
                <wp:posOffset>448310</wp:posOffset>
              </wp:positionV>
              <wp:extent cx="1270635" cy="260350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635" cy="260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0453A7B" w14:textId="77777777" w:rsidR="003A1DF8" w:rsidRPr="00383EC4" w:rsidRDefault="003A1DF8" w:rsidP="003A1DF8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rFonts w:eastAsia="Proxima Nova"/>
                              <w:color w:val="373D40"/>
                              <w:sz w:val="24"/>
                            </w:rPr>
                          </w:pPr>
                          <w:r w:rsidRPr="00383EC4">
                            <w:rPr>
                              <w:rFonts w:eastAsia="Proxima Nova"/>
                              <w:color w:val="373D40"/>
                              <w:sz w:val="24"/>
                            </w:rPr>
                            <w:t>ПЛАТІЖНИЙ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62BCB" id="Rectangle 74" o:spid="_x0000_s1027" style="position:absolute;left:0;text-align:left;margin-left:124.45pt;margin-top:35.3pt;width:100.05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" filled="f" stroked="f">
              <v:textbox inset="0,0,0,0">
                <w:txbxContent>
                  <w:p w14:paraId="00453A7B" w14:textId="77777777" w:rsidR="003A1DF8" w:rsidRPr="00383EC4" w:rsidRDefault="003A1DF8" w:rsidP="003A1DF8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rFonts w:eastAsia="Proxima Nova"/>
                        <w:color w:val="373D40"/>
                        <w:sz w:val="24"/>
                      </w:rPr>
                    </w:pPr>
                    <w:r w:rsidRPr="00383EC4">
                      <w:rPr>
                        <w:rFonts w:eastAsia="Proxima Nova"/>
                        <w:color w:val="373D40"/>
                        <w:sz w:val="24"/>
                      </w:rPr>
                      <w:t>ПЛАТІЖНИЙ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5818" wp14:editId="0F7C3EE1">
              <wp:simplePos x="0" y="0"/>
              <wp:positionH relativeFrom="column">
                <wp:posOffset>1580819</wp:posOffset>
              </wp:positionH>
              <wp:positionV relativeFrom="paragraph">
                <wp:posOffset>248285</wp:posOffset>
              </wp:positionV>
              <wp:extent cx="1717675" cy="260350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7675" cy="260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B224B83" w14:textId="77777777" w:rsidR="003A1DF8" w:rsidRPr="00383EC4" w:rsidRDefault="003A1DF8" w:rsidP="003A1DF8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rFonts w:eastAsia="Proxima Nova"/>
                              <w:color w:val="373D40"/>
                              <w:sz w:val="24"/>
                            </w:rPr>
                          </w:pPr>
                          <w:r w:rsidRPr="00383EC4">
                            <w:rPr>
                              <w:rFonts w:eastAsia="Proxima Nova"/>
                              <w:color w:val="373D40"/>
                              <w:sz w:val="24"/>
                            </w:rPr>
                            <w:t>НАЦІОНАЛЬНИЙ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6C5818" id="Rectangle 73" o:spid="_x0000_s1028" style="position:absolute;left:0;text-align:left;margin-left:124.45pt;margin-top:19.55pt;width:135.2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" filled="f" stroked="f">
              <v:textbox inset="0,0,0,0">
                <w:txbxContent>
                  <w:p w14:paraId="2B224B83" w14:textId="77777777" w:rsidR="003A1DF8" w:rsidRPr="00383EC4" w:rsidRDefault="003A1DF8" w:rsidP="003A1DF8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rFonts w:eastAsia="Proxima Nova"/>
                        <w:color w:val="373D40"/>
                        <w:sz w:val="24"/>
                      </w:rPr>
                    </w:pPr>
                    <w:r w:rsidRPr="00383EC4">
                      <w:rPr>
                        <w:rFonts w:eastAsia="Proxima Nova"/>
                        <w:color w:val="373D40"/>
                        <w:sz w:val="24"/>
                      </w:rPr>
                      <w:t>НАЦІОНАЛЬНИЙ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BBD"/>
    <w:multiLevelType w:val="hybridMultilevel"/>
    <w:tmpl w:val="59ACB6F4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A3CC3"/>
    <w:multiLevelType w:val="hybridMultilevel"/>
    <w:tmpl w:val="981C1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34A"/>
    <w:multiLevelType w:val="hybridMultilevel"/>
    <w:tmpl w:val="EB62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118"/>
    <w:multiLevelType w:val="hybridMultilevel"/>
    <w:tmpl w:val="18E0CAF6"/>
    <w:lvl w:ilvl="0" w:tplc="E8CEB8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433C3"/>
    <w:multiLevelType w:val="hybridMultilevel"/>
    <w:tmpl w:val="C3262762"/>
    <w:lvl w:ilvl="0" w:tplc="344499EE">
      <w:start w:val="1"/>
      <w:numFmt w:val="decimal"/>
      <w:lvlText w:val="%1)"/>
      <w:lvlJc w:val="left"/>
      <w:pPr>
        <w:ind w:left="2061" w:hanging="360"/>
      </w:pPr>
    </w:lvl>
    <w:lvl w:ilvl="1" w:tplc="04220019">
      <w:start w:val="1"/>
      <w:numFmt w:val="lowerLetter"/>
      <w:lvlText w:val="%2."/>
      <w:lvlJc w:val="left"/>
      <w:pPr>
        <w:ind w:left="2781" w:hanging="360"/>
      </w:pPr>
    </w:lvl>
    <w:lvl w:ilvl="2" w:tplc="0422001B">
      <w:start w:val="1"/>
      <w:numFmt w:val="lowerRoman"/>
      <w:lvlText w:val="%3."/>
      <w:lvlJc w:val="right"/>
      <w:pPr>
        <w:ind w:left="3501" w:hanging="180"/>
      </w:pPr>
    </w:lvl>
    <w:lvl w:ilvl="3" w:tplc="0422000F">
      <w:start w:val="1"/>
      <w:numFmt w:val="decimal"/>
      <w:lvlText w:val="%4."/>
      <w:lvlJc w:val="left"/>
      <w:pPr>
        <w:ind w:left="4221" w:hanging="360"/>
      </w:pPr>
    </w:lvl>
    <w:lvl w:ilvl="4" w:tplc="04220019">
      <w:start w:val="1"/>
      <w:numFmt w:val="lowerLetter"/>
      <w:lvlText w:val="%5."/>
      <w:lvlJc w:val="left"/>
      <w:pPr>
        <w:ind w:left="4941" w:hanging="360"/>
      </w:pPr>
    </w:lvl>
    <w:lvl w:ilvl="5" w:tplc="0422001B">
      <w:start w:val="1"/>
      <w:numFmt w:val="lowerRoman"/>
      <w:lvlText w:val="%6."/>
      <w:lvlJc w:val="right"/>
      <w:pPr>
        <w:ind w:left="5661" w:hanging="180"/>
      </w:pPr>
    </w:lvl>
    <w:lvl w:ilvl="6" w:tplc="0422000F">
      <w:start w:val="1"/>
      <w:numFmt w:val="decimal"/>
      <w:lvlText w:val="%7."/>
      <w:lvlJc w:val="left"/>
      <w:pPr>
        <w:ind w:left="6381" w:hanging="360"/>
      </w:pPr>
    </w:lvl>
    <w:lvl w:ilvl="7" w:tplc="04220019">
      <w:start w:val="1"/>
      <w:numFmt w:val="lowerLetter"/>
      <w:lvlText w:val="%8."/>
      <w:lvlJc w:val="left"/>
      <w:pPr>
        <w:ind w:left="7101" w:hanging="360"/>
      </w:pPr>
    </w:lvl>
    <w:lvl w:ilvl="8" w:tplc="0422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76D0165"/>
    <w:multiLevelType w:val="hybridMultilevel"/>
    <w:tmpl w:val="59883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C58F0"/>
    <w:multiLevelType w:val="hybridMultilevel"/>
    <w:tmpl w:val="66844A90"/>
    <w:lvl w:ilvl="0" w:tplc="5C5CB0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29681C"/>
    <w:multiLevelType w:val="hybridMultilevel"/>
    <w:tmpl w:val="773A5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191"/>
    <w:multiLevelType w:val="hybridMultilevel"/>
    <w:tmpl w:val="ACD01CF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36E09"/>
    <w:multiLevelType w:val="hybridMultilevel"/>
    <w:tmpl w:val="20F4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3DB0"/>
    <w:multiLevelType w:val="hybridMultilevel"/>
    <w:tmpl w:val="3FA4EE6E"/>
    <w:lvl w:ilvl="0" w:tplc="EFB20B1A">
      <w:start w:val="1"/>
      <w:numFmt w:val="decimal"/>
      <w:lvlText w:val="%1)"/>
      <w:lvlJc w:val="left"/>
      <w:pPr>
        <w:ind w:left="2061" w:hanging="360"/>
      </w:pPr>
      <w:rPr>
        <w:rFonts w:eastAsia="MS Mincho"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8EB3117"/>
    <w:multiLevelType w:val="hybridMultilevel"/>
    <w:tmpl w:val="2A52EFD2"/>
    <w:lvl w:ilvl="0" w:tplc="D87E18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AF"/>
    <w:rsid w:val="00021EA8"/>
    <w:rsid w:val="00053EF2"/>
    <w:rsid w:val="0007327A"/>
    <w:rsid w:val="000745C0"/>
    <w:rsid w:val="0008737C"/>
    <w:rsid w:val="000B6DA0"/>
    <w:rsid w:val="000C5CD3"/>
    <w:rsid w:val="000E7930"/>
    <w:rsid w:val="0010602A"/>
    <w:rsid w:val="00131313"/>
    <w:rsid w:val="00151DA7"/>
    <w:rsid w:val="00154139"/>
    <w:rsid w:val="001B6C48"/>
    <w:rsid w:val="001C2EE1"/>
    <w:rsid w:val="001E1EC3"/>
    <w:rsid w:val="00202D96"/>
    <w:rsid w:val="00217058"/>
    <w:rsid w:val="0023445B"/>
    <w:rsid w:val="002649B1"/>
    <w:rsid w:val="002A66A9"/>
    <w:rsid w:val="002B0A12"/>
    <w:rsid w:val="002B4085"/>
    <w:rsid w:val="002F3109"/>
    <w:rsid w:val="00300E34"/>
    <w:rsid w:val="003241F4"/>
    <w:rsid w:val="00330E8D"/>
    <w:rsid w:val="003532AC"/>
    <w:rsid w:val="003710C8"/>
    <w:rsid w:val="00383EC4"/>
    <w:rsid w:val="003A1DF8"/>
    <w:rsid w:val="003C7B50"/>
    <w:rsid w:val="003F0C5C"/>
    <w:rsid w:val="00433B1E"/>
    <w:rsid w:val="00473C83"/>
    <w:rsid w:val="00502877"/>
    <w:rsid w:val="0051024C"/>
    <w:rsid w:val="005125AF"/>
    <w:rsid w:val="005453E3"/>
    <w:rsid w:val="005745F5"/>
    <w:rsid w:val="00617DDC"/>
    <w:rsid w:val="00637E60"/>
    <w:rsid w:val="006627A6"/>
    <w:rsid w:val="006741CF"/>
    <w:rsid w:val="006D1349"/>
    <w:rsid w:val="006D7373"/>
    <w:rsid w:val="006F798D"/>
    <w:rsid w:val="0070277B"/>
    <w:rsid w:val="007144DA"/>
    <w:rsid w:val="007173EF"/>
    <w:rsid w:val="00721A01"/>
    <w:rsid w:val="00791189"/>
    <w:rsid w:val="007D1C5C"/>
    <w:rsid w:val="007D410D"/>
    <w:rsid w:val="0081332E"/>
    <w:rsid w:val="0083522D"/>
    <w:rsid w:val="00847CD2"/>
    <w:rsid w:val="008B1336"/>
    <w:rsid w:val="008D622D"/>
    <w:rsid w:val="00900FE3"/>
    <w:rsid w:val="0090257C"/>
    <w:rsid w:val="009337C9"/>
    <w:rsid w:val="0094144C"/>
    <w:rsid w:val="009834E8"/>
    <w:rsid w:val="00995670"/>
    <w:rsid w:val="009B30F9"/>
    <w:rsid w:val="009C4714"/>
    <w:rsid w:val="00A018CA"/>
    <w:rsid w:val="00A15A5C"/>
    <w:rsid w:val="00A72E8E"/>
    <w:rsid w:val="00A91631"/>
    <w:rsid w:val="00AB4B75"/>
    <w:rsid w:val="00AC18DC"/>
    <w:rsid w:val="00AE180D"/>
    <w:rsid w:val="00B44C32"/>
    <w:rsid w:val="00B53723"/>
    <w:rsid w:val="00C01DF1"/>
    <w:rsid w:val="00C106DD"/>
    <w:rsid w:val="00C57C52"/>
    <w:rsid w:val="00CD127D"/>
    <w:rsid w:val="00D0103C"/>
    <w:rsid w:val="00D05A86"/>
    <w:rsid w:val="00D44087"/>
    <w:rsid w:val="00D569C6"/>
    <w:rsid w:val="00D64E74"/>
    <w:rsid w:val="00D74D40"/>
    <w:rsid w:val="00DC4BE4"/>
    <w:rsid w:val="00DD457D"/>
    <w:rsid w:val="00E03722"/>
    <w:rsid w:val="00E239B5"/>
    <w:rsid w:val="00E27AA4"/>
    <w:rsid w:val="00E47620"/>
    <w:rsid w:val="00E8648B"/>
    <w:rsid w:val="00E97AFD"/>
    <w:rsid w:val="00EE19A4"/>
    <w:rsid w:val="00F07785"/>
    <w:rsid w:val="00F43312"/>
    <w:rsid w:val="00F63BEC"/>
    <w:rsid w:val="00F64D64"/>
    <w:rsid w:val="00F663CC"/>
    <w:rsid w:val="00F7312C"/>
    <w:rsid w:val="00F80B32"/>
    <w:rsid w:val="00FB4E77"/>
    <w:rsid w:val="00FC4C01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9955A"/>
  <w15:docId w15:val="{6746C94D-3EB8-4C28-BFE2-5E43360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4" w:line="250" w:lineRule="auto"/>
      <w:ind w:left="38" w:right="144" w:hanging="10"/>
      <w:jc w:val="both"/>
    </w:pPr>
    <w:rPr>
      <w:rFonts w:ascii="Arial" w:eastAsia="Arial" w:hAnsi="Arial" w:cs="Arial"/>
      <w:color w:val="18171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15" w:hanging="10"/>
      <w:jc w:val="center"/>
      <w:outlineLvl w:val="0"/>
    </w:pPr>
    <w:rPr>
      <w:rFonts w:ascii="Arial" w:eastAsia="Arial" w:hAnsi="Arial" w:cs="Arial"/>
      <w:b/>
      <w:color w:val="181717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181717"/>
      <w:sz w:val="26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83E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EC4"/>
    <w:rPr>
      <w:rFonts w:ascii="Arial" w:eastAsia="Arial" w:hAnsi="Arial" w:cs="Arial"/>
      <w:color w:val="181717"/>
    </w:rPr>
  </w:style>
  <w:style w:type="paragraph" w:styleId="a5">
    <w:name w:val="footer"/>
    <w:basedOn w:val="a"/>
    <w:link w:val="a6"/>
    <w:uiPriority w:val="99"/>
    <w:unhideWhenUsed/>
    <w:rsid w:val="00383E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EC4"/>
    <w:rPr>
      <w:rFonts w:ascii="Arial" w:eastAsia="Arial" w:hAnsi="Arial" w:cs="Arial"/>
      <w:color w:val="181717"/>
    </w:rPr>
  </w:style>
  <w:style w:type="character" w:styleId="a7">
    <w:name w:val="Hyperlink"/>
    <w:basedOn w:val="a0"/>
    <w:uiPriority w:val="99"/>
    <w:unhideWhenUsed/>
    <w:rsid w:val="0050287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74"/>
    <w:rPr>
      <w:rFonts w:ascii="Segoe UI" w:eastAsia="Arial" w:hAnsi="Segoe UI" w:cs="Segoe UI"/>
      <w:color w:val="181717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C01DF1"/>
    <w:pPr>
      <w:ind w:left="720"/>
      <w:contextualSpacing/>
    </w:pPr>
  </w:style>
  <w:style w:type="paragraph" w:styleId="ac">
    <w:name w:val="No Spacing"/>
    <w:link w:val="ad"/>
    <w:uiPriority w:val="1"/>
    <w:qFormat/>
    <w:rsid w:val="00E8648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d">
    <w:name w:val="Без интервала Знак"/>
    <w:link w:val="ac"/>
    <w:uiPriority w:val="1"/>
    <w:rsid w:val="00E8648B"/>
    <w:rPr>
      <w:rFonts w:ascii="Calibri" w:eastAsia="Times New Roman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E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17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Абзац списка Знак"/>
    <w:link w:val="aa"/>
    <w:uiPriority w:val="34"/>
    <w:rsid w:val="00FB4E77"/>
    <w:rPr>
      <w:rFonts w:ascii="Arial" w:eastAsia="Arial" w:hAnsi="Arial" w:cs="Arial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214464" TargetMode="External"/><Relationship Id="rId13" Type="http://schemas.openxmlformats.org/officeDocument/2006/relationships/hyperlink" Target="mailto:info@kiev.dps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pay.ua/plateji" TargetMode="External"/><Relationship Id="rId12" Type="http://schemas.openxmlformats.org/officeDocument/2006/relationships/hyperlink" Target="http://www.consumer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-elena@consumer.gov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nk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u@bank.gov.u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Andrey Asafat</dc:creator>
  <cp:keywords/>
  <cp:lastModifiedBy>Oksana Prantsypal</cp:lastModifiedBy>
  <cp:revision>5</cp:revision>
  <cp:lastPrinted>2017-04-24T12:47:00Z</cp:lastPrinted>
  <dcterms:created xsi:type="dcterms:W3CDTF">2019-07-02T09:58:00Z</dcterms:created>
  <dcterms:modified xsi:type="dcterms:W3CDTF">2019-07-09T09:16:00Z</dcterms:modified>
</cp:coreProperties>
</file>